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5860" w:rsidRPr="00BE1BCD" w:rsidRDefault="00D4205F">
      <w:pPr>
        <w:spacing w:line="360" w:lineRule="auto"/>
        <w:jc w:val="left"/>
      </w:pPr>
      <w:r>
        <w:rPr>
          <w:rFonts w:ascii="宋体" w:hAnsi="宋体"/>
          <w:b/>
          <w:noProof/>
          <w:sz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10515600</wp:posOffset>
            </wp:positionH>
            <wp:positionV relativeFrom="topMargin">
              <wp:posOffset>10363200</wp:posOffset>
            </wp:positionV>
            <wp:extent cx="381000" cy="330200"/>
            <wp:effectExtent l="0" t="0" r="0" b="0"/>
            <wp:wrapNone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24"/>
        </w:rPr>
        <w:t>机密</w:t>
      </w:r>
      <w:r>
        <w:rPr>
          <w:rFonts w:ascii="宋体" w:hAnsi="宋体"/>
          <w:b/>
          <w:sz w:val="24"/>
        </w:rPr>
        <w:t>★</w:t>
      </w:r>
      <w:r>
        <w:rPr>
          <w:rFonts w:ascii="宋体" w:hAnsi="宋体"/>
          <w:b/>
          <w:sz w:val="24"/>
        </w:rPr>
        <w:t>启用前</w:t>
      </w:r>
    </w:p>
    <w:p w:rsidR="00FC5860" w:rsidRPr="00BE1BCD" w:rsidRDefault="00D4205F">
      <w:pPr>
        <w:spacing w:line="360" w:lineRule="auto"/>
        <w:jc w:val="center"/>
      </w:pPr>
      <w:r>
        <w:rPr>
          <w:rFonts w:eastAsia="Times New Roman" w:cs="Times New Roman"/>
          <w:b/>
          <w:sz w:val="32"/>
        </w:rPr>
        <w:t>2025</w:t>
      </w:r>
      <w:r>
        <w:rPr>
          <w:rFonts w:ascii="宋体" w:hAnsi="宋体"/>
          <w:b/>
          <w:sz w:val="32"/>
        </w:rPr>
        <w:t>年湖北省普通高中学业水平选择性考试生物学</w:t>
      </w:r>
    </w:p>
    <w:p w:rsidR="00FC5860" w:rsidRPr="00BE1BCD" w:rsidRDefault="00D4205F">
      <w:pPr>
        <w:spacing w:line="360" w:lineRule="auto"/>
        <w:jc w:val="center"/>
      </w:pPr>
      <w:r>
        <w:rPr>
          <w:rFonts w:ascii="宋体" w:hAnsi="宋体"/>
          <w:b/>
          <w:sz w:val="24"/>
        </w:rPr>
        <w:t>本试卷共</w:t>
      </w:r>
      <w:r>
        <w:rPr>
          <w:rFonts w:eastAsia="Times New Roman" w:cs="Times New Roman"/>
          <w:b/>
          <w:sz w:val="24"/>
        </w:rPr>
        <w:t>8</w:t>
      </w:r>
      <w:r>
        <w:rPr>
          <w:rFonts w:ascii="宋体" w:hAnsi="宋体"/>
          <w:b/>
          <w:sz w:val="24"/>
        </w:rPr>
        <w:t>页，</w:t>
      </w:r>
      <w:r>
        <w:rPr>
          <w:rFonts w:eastAsia="Times New Roman" w:cs="Times New Roman"/>
          <w:b/>
          <w:sz w:val="24"/>
        </w:rPr>
        <w:t>22</w:t>
      </w:r>
      <w:r>
        <w:rPr>
          <w:rFonts w:ascii="宋体" w:hAnsi="宋体"/>
          <w:b/>
          <w:sz w:val="24"/>
        </w:rPr>
        <w:t>题。全卷满分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分。考试用时</w:t>
      </w:r>
      <w:r>
        <w:rPr>
          <w:rFonts w:eastAsia="Times New Roman" w:cs="Times New Roman"/>
          <w:b/>
          <w:sz w:val="24"/>
        </w:rPr>
        <w:t>75</w:t>
      </w:r>
      <w:r>
        <w:rPr>
          <w:rFonts w:ascii="宋体" w:hAnsi="宋体"/>
          <w:b/>
          <w:sz w:val="24"/>
        </w:rPr>
        <w:t>分钟。</w:t>
      </w:r>
    </w:p>
    <w:p w:rsidR="00FC5860" w:rsidRPr="00BE1BCD" w:rsidRDefault="00D4205F">
      <w:pPr>
        <w:spacing w:line="360" w:lineRule="auto"/>
        <w:jc w:val="left"/>
      </w:pPr>
      <w:r>
        <w:rPr>
          <w:rFonts w:ascii="宋体" w:hAnsi="宋体"/>
          <w:b/>
          <w:sz w:val="24"/>
        </w:rPr>
        <w:t>一、单项选择题：本题共</w:t>
      </w:r>
      <w:r>
        <w:rPr>
          <w:rFonts w:eastAsia="Times New Roman" w:cs="Times New Roman"/>
          <w:b/>
          <w:sz w:val="24"/>
        </w:rPr>
        <w:t>18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36</w:t>
      </w:r>
      <w:r>
        <w:rPr>
          <w:rFonts w:ascii="宋体" w:hAnsi="宋体"/>
          <w:b/>
          <w:sz w:val="24"/>
        </w:rPr>
        <w:t>分。在每小题给出的四个选项中，只有一项是符合题目要求的。</w:t>
      </w:r>
    </w:p>
    <w:p w:rsidR="00FC5860" w:rsidRPr="00BE1BCD" w:rsidRDefault="00D4205F">
      <w:pPr>
        <w:spacing w:line="360" w:lineRule="auto"/>
        <w:jc w:val="left"/>
      </w:pPr>
      <w:r>
        <w:t xml:space="preserve">1. </w:t>
      </w:r>
      <w:r>
        <w:rPr>
          <w:rFonts w:eastAsia="Times New Roman" w:cs="Times New Roman"/>
        </w:rPr>
        <w:t>2023</w:t>
      </w:r>
      <w:r>
        <w:rPr>
          <w:rFonts w:ascii="宋体" w:hAnsi="宋体"/>
        </w:rPr>
        <w:t>年</w:t>
      </w:r>
      <w:r>
        <w:rPr>
          <w:rFonts w:eastAsia="Times New Roman" w:cs="Times New Roman"/>
        </w:rPr>
        <w:t>7</w:t>
      </w:r>
      <w:r>
        <w:rPr>
          <w:rFonts w:ascii="宋体" w:hAnsi="宋体"/>
        </w:rPr>
        <w:t>月，习近平总书记在全国生态环境保护大会上发表</w:t>
      </w:r>
      <w:r>
        <w:rPr>
          <w:rFonts w:ascii="宋体" w:hAnsi="宋体"/>
          <w:noProof/>
        </w:rPr>
        <w:drawing>
          <wp:inline distT="0" distB="0" distL="0" distR="0">
            <wp:extent cx="133350" cy="1778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重要讲话中强调：着力提升生态系统多样性、稳定性、持续性，要站在维护国家生态安全、中华民族永续发展和对人类文明负责的高度，加强生态保护和修复，为子孙后代留下山湾水秀的生态空间。下列措施不符合以上精神的是（　　）</w:t>
      </w:r>
    </w:p>
    <w:p w:rsidR="0036719F" w:rsidRDefault="00FC5860">
      <w:pPr>
        <w:spacing w:line="360" w:lineRule="auto"/>
        <w:jc w:val="left"/>
        <w:textAlignment w:val="center"/>
      </w:pPr>
      <w:r w:rsidRPr="00BE1BCD">
        <w:t xml:space="preserve">A. </w:t>
      </w:r>
      <w:r w:rsidR="00D4205F">
        <w:rPr>
          <w:rFonts w:ascii="宋体" w:hAnsi="宋体"/>
        </w:rPr>
        <w:t>通过大规模围湖造田扩大耕地面积，提高粮食产量</w:t>
      </w:r>
    </w:p>
    <w:p w:rsidR="0036719F" w:rsidRDefault="00FC5860">
      <w:pPr>
        <w:spacing w:line="360" w:lineRule="auto"/>
        <w:jc w:val="left"/>
        <w:textAlignment w:val="center"/>
      </w:pPr>
      <w:r w:rsidRPr="00BE1BCD">
        <w:t xml:space="preserve">B. </w:t>
      </w:r>
      <w:r w:rsidR="00D4205F">
        <w:rPr>
          <w:rFonts w:ascii="宋体" w:hAnsi="宋体"/>
        </w:rPr>
        <w:t>对有代表性的自然生态系统和珍稀物种栖息地进行保护</w:t>
      </w:r>
    </w:p>
    <w:p w:rsidR="0036719F" w:rsidRDefault="00FC5860">
      <w:pPr>
        <w:spacing w:line="360" w:lineRule="auto"/>
        <w:jc w:val="left"/>
        <w:textAlignment w:val="center"/>
      </w:pPr>
      <w:r w:rsidRPr="00BE1BCD">
        <w:t xml:space="preserve">C. </w:t>
      </w:r>
      <w:r w:rsidR="00D4205F">
        <w:rPr>
          <w:rFonts w:ascii="宋体" w:hAnsi="宋体"/>
        </w:rPr>
        <w:t>对过度利用的森林与草原进行封育，待恢复到较好状态时再适度利用</w:t>
      </w:r>
    </w:p>
    <w:p w:rsidR="0036719F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t xml:space="preserve">D. </w:t>
      </w:r>
      <w:r w:rsidR="00D4205F">
        <w:rPr>
          <w:rFonts w:ascii="宋体" w:hAnsi="宋体"/>
        </w:rPr>
        <w:t>开展大规模国土绿化行动，推进</w:t>
      </w:r>
      <w:r w:rsidR="00D4205F">
        <w:rPr>
          <w:rFonts w:ascii="宋体" w:hAnsi="宋体"/>
        </w:rPr>
        <w:t>“</w:t>
      </w:r>
      <w:r w:rsidR="00D4205F">
        <w:rPr>
          <w:rFonts w:ascii="宋体" w:hAnsi="宋体"/>
        </w:rPr>
        <w:t>三北</w:t>
      </w:r>
      <w:r w:rsidR="00D4205F">
        <w:rPr>
          <w:rFonts w:ascii="宋体" w:hAnsi="宋体"/>
        </w:rPr>
        <w:t>”</w:t>
      </w:r>
      <w:r w:rsidR="00D4205F">
        <w:rPr>
          <w:rFonts w:ascii="宋体" w:hAnsi="宋体"/>
        </w:rPr>
        <w:t>防护林体系建设和京津风沙源治理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《中国睡眠研究报告（</w:t>
      </w:r>
      <w:r>
        <w:rPr>
          <w:rFonts w:eastAsia="Times New Roman" w:cs="Times New Roman"/>
          <w:color w:val="000000"/>
        </w:rPr>
        <w:t>2023</w:t>
      </w:r>
      <w:r>
        <w:rPr>
          <w:rFonts w:ascii="宋体" w:hAnsi="宋体"/>
          <w:color w:val="000000"/>
        </w:rPr>
        <w:t>）》指出，长期睡眠不足会引发机体胰岛素敏感性下降、管后血糖与脂肪代谢效率降低等问题，并伴随注意力不集中、短期记忆受损、免疫力下降等症状。下列关于长期睡眠不足的危害，叙述错误的是（　　）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影响神经元之间的信息交流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患高血脂、糖尿病的风险上升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可能导致与免疫相关的细胞因子分泌减少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导致体内二氧化碳浓度升高，血液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下降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我国科学家对三万余株水稻进行筛选，成功定位并克隆出耐碱</w:t>
      </w:r>
      <w:r>
        <w:rPr>
          <w:rFonts w:ascii="宋体" w:hAnsi="宋体"/>
          <w:color w:val="000000"/>
        </w:rPr>
        <w:t>—</w:t>
      </w:r>
      <w:r>
        <w:rPr>
          <w:rFonts w:ascii="宋体" w:hAnsi="宋体"/>
          <w:color w:val="000000"/>
        </w:rPr>
        <w:t>耐热基因</w:t>
      </w:r>
      <w:r>
        <w:rPr>
          <w:rFonts w:eastAsia="Times New Roman" w:cs="Times New Roman"/>
          <w:color w:val="000000"/>
        </w:rPr>
        <w:t>ATT</w:t>
      </w:r>
      <w:r>
        <w:rPr>
          <w:rFonts w:ascii="宋体" w:hAnsi="宋体"/>
          <w:color w:val="000000"/>
        </w:rPr>
        <w:t>，发现该基因编码</w:t>
      </w:r>
      <w:r>
        <w:rPr>
          <w:rFonts w:eastAsia="Times New Roman" w:cs="Times New Roman"/>
          <w:color w:val="000000"/>
        </w:rPr>
        <w:t>GA20</w:t>
      </w:r>
      <w:r>
        <w:rPr>
          <w:rFonts w:ascii="宋体" w:hAnsi="宋体"/>
          <w:color w:val="000000"/>
        </w:rPr>
        <w:t>氧化酶，从而调控赤霉素的生物合成。适宜浓度的赤霉素通过调节</w:t>
      </w:r>
      <w:r>
        <w:rPr>
          <w:rFonts w:eastAsia="Times New Roman" w:cs="Times New Roman"/>
          <w:color w:val="000000"/>
        </w:rPr>
        <w:t>SLR1</w:t>
      </w:r>
      <w:r>
        <w:rPr>
          <w:rFonts w:ascii="宋体" w:hAnsi="宋体"/>
          <w:color w:val="000000"/>
        </w:rPr>
        <w:t>蛋白的含量，能减少碱性和高温环境对植株的损伤。下列叙述错误的是（　　）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该研究表明基因与性状是一一对应关系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ATT</w:t>
      </w:r>
      <w:r>
        <w:rPr>
          <w:rFonts w:ascii="宋体" w:hAnsi="宋体"/>
          <w:color w:val="000000"/>
        </w:rPr>
        <w:t>基因通过控制酶的合成影响水稻的性状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可以通过调节</w:t>
      </w:r>
      <w:r>
        <w:rPr>
          <w:rFonts w:eastAsia="Times New Roman" w:cs="Times New Roman"/>
          <w:color w:val="000000"/>
        </w:rPr>
        <w:t>ATT</w:t>
      </w:r>
      <w:r>
        <w:rPr>
          <w:rFonts w:ascii="宋体" w:hAnsi="宋体"/>
          <w:color w:val="000000"/>
        </w:rPr>
        <w:t>基因的表达调控赤霉素的水平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该研究成</w:t>
      </w:r>
      <w:r>
        <w:rPr>
          <w:rFonts w:ascii="宋体" w:hAnsi="宋体"/>
          <w:color w:val="000000"/>
        </w:rPr>
        <w:t>果为培育耐碱</w:t>
      </w:r>
      <w:r>
        <w:rPr>
          <w:rFonts w:ascii="宋体" w:hAnsi="宋体"/>
          <w:color w:val="000000"/>
        </w:rPr>
        <w:t>—</w:t>
      </w:r>
      <w:r>
        <w:rPr>
          <w:rFonts w:ascii="宋体" w:hAnsi="宋体"/>
          <w:color w:val="000000"/>
        </w:rPr>
        <w:t>耐热水稻新品种提供了新思路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在花粉过敏症患者中，法国梧桐花粉过敏原检测阳性率较高。接触法国梧桐花粉可诱发哮喘和过敏性鼻炎等过敏反应。下列叙述错误的是（　　）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抗原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抗体特异性结合的原理可用于过敏原检测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抑制机体内辅助性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细胞活性的药物，可缓解过敏反应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不同人对相同过敏原的过敏反应程度不同，说明过敏反应可能与遗传因素有关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法国梧桐花粉刺激机体产生的抗体，可避免机体再次接触该种花粉时产生过敏反应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水母雪莲是我国的一种名贵药材，主要活性成分为次生代谢产物黄酮。水母</w:t>
      </w:r>
      <w:r>
        <w:rPr>
          <w:rFonts w:ascii="宋体" w:hAnsi="宋体"/>
          <w:color w:val="000000"/>
        </w:rPr>
        <w:t>雪莲生长缓慢，长期的掠夺性采挖导致该药材资源严重匮乏。研究人员开展了悬浮培养水母雪莲细胞合成黄酮的工程技术研究，结果如表所示。下列叙述错误的是（　　）</w:t>
      </w:r>
    </w:p>
    <w:tbl>
      <w:tblPr>
        <w:tblW w:w="97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4121"/>
        <w:gridCol w:w="1398"/>
        <w:gridCol w:w="1398"/>
        <w:gridCol w:w="1398"/>
        <w:gridCol w:w="1398"/>
      </w:tblGrid>
      <w:tr w:rsidR="0036719F" w:rsidTr="00BC4530">
        <w:trPr>
          <w:trHeight w:val="334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转速（</w:t>
            </w:r>
            <w:r>
              <w:rPr>
                <w:rFonts w:eastAsia="Times New Roman" w:cs="Times New Roman"/>
                <w:color w:val="000000"/>
              </w:rPr>
              <w:t>r/min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75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85</w:t>
            </w:r>
          </w:p>
        </w:tc>
      </w:tr>
      <w:tr w:rsidR="0036719F" w:rsidTr="00BC4530">
        <w:trPr>
          <w:trHeight w:val="667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相对生长速率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0.25</w:t>
            </w:r>
          </w:p>
        </w:tc>
      </w:tr>
      <w:tr w:rsidR="0036719F" w:rsidTr="00BC4530">
        <w:trPr>
          <w:trHeight w:val="678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细胞干重（</w:t>
            </w:r>
            <w:r>
              <w:rPr>
                <w:rFonts w:eastAsia="Times New Roman" w:cs="Times New Roman"/>
                <w:color w:val="000000"/>
              </w:rPr>
              <w:t>g/L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7.5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9.7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11.4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9.5</w:t>
            </w:r>
          </w:p>
        </w:tc>
      </w:tr>
      <w:tr w:rsidR="0036719F" w:rsidTr="00BC4530">
        <w:trPr>
          <w:trHeight w:val="667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黄酮产量（</w:t>
            </w:r>
            <w:r>
              <w:rPr>
                <w:rFonts w:eastAsia="Times New Roman" w:cs="Times New Roman"/>
                <w:color w:val="000000"/>
              </w:rPr>
              <w:t>g/L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0.32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0.25</w:t>
            </w:r>
          </w:p>
        </w:tc>
      </w:tr>
    </w:tbl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黄酮产量与细胞干重呈正相关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黄酮是水母雪莲细胞生存和生长所必需的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氧气供给对于水母雪莲细胞生长、分裂和代谢是必需的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转速为</w:t>
      </w:r>
      <w:r>
        <w:rPr>
          <w:rFonts w:eastAsia="Times New Roman" w:cs="Times New Roman"/>
          <w:color w:val="000000"/>
        </w:rPr>
        <w:t>75r/min</w:t>
      </w:r>
      <w:r>
        <w:rPr>
          <w:rFonts w:ascii="宋体" w:hAnsi="宋体"/>
          <w:color w:val="000000"/>
        </w:rPr>
        <w:t>时既利于细胞分裂，又利于黄酮的积累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利用犬肾细胞</w:t>
      </w:r>
      <w:r>
        <w:rPr>
          <w:rFonts w:eastAsia="Times New Roman" w:cs="Times New Roman"/>
          <w:color w:val="000000"/>
        </w:rPr>
        <w:t>MDCK</w:t>
      </w:r>
      <w:r>
        <w:rPr>
          <w:rFonts w:ascii="宋体" w:hAnsi="宋体"/>
          <w:color w:val="000000"/>
        </w:rPr>
        <w:t>扩增流感病毒，生产流感疫苗，具有标准化、产量高等优点。但</w:t>
      </w:r>
      <w:r>
        <w:rPr>
          <w:rFonts w:eastAsia="Times New Roman" w:cs="Times New Roman"/>
          <w:color w:val="000000"/>
        </w:rPr>
        <w:t>MDCK</w:t>
      </w:r>
      <w:r>
        <w:rPr>
          <w:rFonts w:ascii="宋体" w:hAnsi="宋体"/>
          <w:color w:val="000000"/>
        </w:rPr>
        <w:t>细胞贴壁生长的特性不利于生产规模的扩大，严重制约疫苗的生产效率。研究人员通过筛选，成功获得一种无成瘤性的（多代培养不会癌变）、可悬浮培养的</w:t>
      </w:r>
      <w:r>
        <w:rPr>
          <w:rFonts w:eastAsia="Times New Roman" w:cs="Times New Roman"/>
          <w:color w:val="000000"/>
        </w:rPr>
        <w:t>MDCK</w:t>
      </w:r>
      <w:r>
        <w:rPr>
          <w:rFonts w:ascii="宋体" w:hAnsi="宋体"/>
          <w:color w:val="000000"/>
        </w:rPr>
        <w:t>细胞</w:t>
      </w:r>
      <w:r>
        <w:rPr>
          <w:rFonts w:ascii="宋体" w:hAnsi="宋体"/>
          <w:color w:val="000000"/>
        </w:rPr>
        <w:t>——</w:t>
      </w:r>
      <w:r>
        <w:rPr>
          <w:rFonts w:eastAsia="Times New Roman" w:cs="Times New Roman"/>
          <w:color w:val="000000"/>
        </w:rPr>
        <w:t>XF06.</w:t>
      </w:r>
      <w:r>
        <w:rPr>
          <w:rFonts w:ascii="宋体" w:hAnsi="宋体"/>
          <w:color w:val="000000"/>
        </w:rPr>
        <w:t>下列叙述错误的是（　　）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XF06</w:t>
      </w:r>
      <w:r>
        <w:rPr>
          <w:rFonts w:ascii="宋体" w:hAnsi="宋体"/>
          <w:color w:val="000000"/>
        </w:rPr>
        <w:t>悬浮培养可提高细胞密度，进而提升生产效率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细胞贴壁生长特性的改变是由于流感病毒感染所导致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可采用离心技术从感染病毒的细胞裂解液中分离出流感病毒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采用无成瘤性细胞生产疫苗，是为了避免疫苗中有致瘤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的污染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我国农学家贾思勰所著《齐民要术》记载：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凡五谷种子，浥郁则不生，生者亦寻死。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意思是种子如果受潮发霉就不会发芽，即使发芽也会很快死亡。下列叙述错误的是（　　）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农业生产中，种子储藏需要干燥的环境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种子受潮导致细胞内结合水比例升高，自由水比例降低，细胞代谢减弱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霉菌在种子上大量繁殖，消耗了种子的营养物质，不利于种子正常萌发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发霉过程中，微生物代谢产生的有害物质可能抑制种子萌发相关酶的活性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科研人员对四种植物进行不同光照处理实验，记录开花情况如下表。根据实验结果，以下推断合理的是（　　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080"/>
        <w:gridCol w:w="1080"/>
        <w:gridCol w:w="1080"/>
      </w:tblGrid>
      <w:tr w:rsidR="0036719F">
        <w:trPr>
          <w:trHeight w:val="27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植物种类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长日照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短日照</w:t>
            </w:r>
          </w:p>
        </w:tc>
      </w:tr>
      <w:tr w:rsidR="0036719F">
        <w:trPr>
          <w:trHeight w:val="270"/>
        </w:trPr>
        <w:tc>
          <w:tcPr>
            <w:tcW w:w="0" w:type="auto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甲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正常开花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不开花</w:t>
            </w:r>
          </w:p>
        </w:tc>
      </w:tr>
      <w:tr w:rsidR="0036719F">
        <w:trPr>
          <w:trHeight w:val="270"/>
        </w:trPr>
        <w:tc>
          <w:tcPr>
            <w:tcW w:w="0" w:type="auto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乙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不开花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正常开花</w:t>
            </w:r>
          </w:p>
        </w:tc>
      </w:tr>
      <w:tr w:rsidR="0036719F">
        <w:trPr>
          <w:trHeight w:val="270"/>
        </w:trPr>
        <w:tc>
          <w:tcPr>
            <w:tcW w:w="0" w:type="auto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丙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正常开花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正常开花</w:t>
            </w:r>
          </w:p>
        </w:tc>
      </w:tr>
      <w:tr w:rsidR="0036719F">
        <w:trPr>
          <w:trHeight w:val="270"/>
        </w:trPr>
        <w:tc>
          <w:tcPr>
            <w:tcW w:w="0" w:type="auto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丁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延迟开花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正常开花</w:t>
            </w:r>
          </w:p>
        </w:tc>
      </w:tr>
    </w:tbl>
    <w:p w:rsidR="0036719F" w:rsidRDefault="0036719F">
      <w:pPr>
        <w:spacing w:line="360" w:lineRule="auto"/>
        <w:jc w:val="left"/>
        <w:textAlignment w:val="center"/>
        <w:rPr>
          <w:color w:val="000000"/>
        </w:rPr>
      </w:pP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对植物丁进行人工补光延长光照时间，能使其更快开花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植物丙的开花不受环境因素影响，由自身遗传物质决定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表中植物甲和乙开花的差异，是因为它们对光照强度的敏感度不同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若在湖北同一地点种植，植物甲可能在夏季开花，植物乙可能在秋季开花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阿维菌素是一种用于害虫防治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生物农药。科研人员研究了阿维菌素对褐飞虱的影响，结果如下图。下列叙述错误的是（　　）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238750" cy="1787199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87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途径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与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对褐飞虱的作用效果相反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阿维菌素对褐飞虱的不同作用效果有浓度依赖性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雌虫体内成熟生殖细胞的数量与卵黄蛋白原的含量呈正相关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若干扰</w:t>
      </w:r>
      <w:r>
        <w:rPr>
          <w:rFonts w:eastAsia="Times New Roman" w:cs="Times New Roman"/>
          <w:color w:val="000000"/>
        </w:rPr>
        <w:t>AstA</w:t>
      </w:r>
      <w:r>
        <w:rPr>
          <w:rFonts w:ascii="宋体" w:hAnsi="宋体"/>
          <w:color w:val="000000"/>
        </w:rPr>
        <w:t>蛋白与</w:t>
      </w:r>
      <w:r>
        <w:rPr>
          <w:rFonts w:eastAsia="Times New Roman" w:cs="Times New Roman"/>
          <w:color w:val="000000"/>
        </w:rPr>
        <w:t>AstA</w:t>
      </w:r>
      <w:r>
        <w:rPr>
          <w:rFonts w:ascii="宋体" w:hAnsi="宋体"/>
          <w:color w:val="000000"/>
        </w:rPr>
        <w:t>受体的结合，会使褐飞虱产卵量增加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深秋时节，有机蔬菜种植基地常会收集大量</w:t>
      </w:r>
      <w:r>
        <w:rPr>
          <w:color w:val="000000"/>
        </w:rPr>
        <w:t>塘泥</w:t>
      </w:r>
      <w:r>
        <w:rPr>
          <w:rFonts w:ascii="宋体" w:hAnsi="宋体"/>
          <w:color w:val="000000"/>
        </w:rPr>
        <w:t>堆置于池塘周边，待其自然风干，再经过冬季自然腐熟后，次年可作为优质有机肥。根据上述材料，下列叙述错误的是（　　）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塘泥不能直接用作有机肥是因为其水分含量过高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腐熟过程中发挥核心作用的是微生物的分解活动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处理后的塘泥作为有机肥，可有效提升土壤肥力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塘泥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资源化利用符合生态学循环原理，有助于农业可持续发展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11. </w:t>
      </w:r>
      <w:r>
        <w:rPr>
          <w:rFonts w:ascii="宋体" w:hAnsi="宋体"/>
          <w:color w:val="000000"/>
        </w:rPr>
        <w:t>蚯蚓通常栖息在阴暗、潮湿的土壤环境中，以落叶、禽畜粪便和线虫等为食。四溴双酚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TBBPA</w:t>
      </w:r>
      <w:r>
        <w:rPr>
          <w:rFonts w:ascii="宋体" w:hAnsi="宋体"/>
          <w:color w:val="000000"/>
        </w:rPr>
        <w:t>）是土壤中常见的污染物之一。科研人员以蚯蚓为实验对象，将其培养在浓度为</w:t>
      </w:r>
      <w:r>
        <w:rPr>
          <w:rFonts w:eastAsia="Times New Roman" w:cs="Times New Roman"/>
          <w:color w:val="000000"/>
        </w:rPr>
        <w:t>1mg/kg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TBBPA</w:t>
      </w:r>
      <w:r>
        <w:rPr>
          <w:rFonts w:ascii="宋体" w:hAnsi="宋体"/>
          <w:color w:val="000000"/>
        </w:rPr>
        <w:t>污染土壤中进行</w:t>
      </w:r>
      <w:r>
        <w:rPr>
          <w:rFonts w:eastAsia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天富集实验，然后将蚯蚓转至干净土壤进行</w:t>
      </w:r>
      <w:r>
        <w:rPr>
          <w:rFonts w:eastAsia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天排出实验，实验结果如下图。下列叙述错误的是（　　）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28925" cy="19050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蚯蚓在生态系统中既是消费者也是分解者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蚯蚓对</w:t>
      </w:r>
      <w:r>
        <w:rPr>
          <w:rFonts w:eastAsia="Times New Roman" w:cs="Times New Roman"/>
          <w:color w:val="000000"/>
        </w:rPr>
        <w:t>TBBPA</w:t>
      </w:r>
      <w:r>
        <w:rPr>
          <w:rFonts w:ascii="宋体" w:hAnsi="宋体"/>
          <w:color w:val="000000"/>
        </w:rPr>
        <w:t>的富集效应在</w:t>
      </w:r>
      <w:r>
        <w:rPr>
          <w:rFonts w:eastAsia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天以后趋于饱和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该实验结束时蚯蚓被其他捕食者所食，</w:t>
      </w:r>
      <w:r>
        <w:rPr>
          <w:rFonts w:eastAsia="Times New Roman" w:cs="Times New Roman"/>
          <w:color w:val="000000"/>
        </w:rPr>
        <w:t>TBBPA</w:t>
      </w:r>
      <w:r>
        <w:rPr>
          <w:rFonts w:ascii="宋体" w:hAnsi="宋体"/>
          <w:color w:val="000000"/>
        </w:rPr>
        <w:t>不会沿食物链传递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15</w:t>
      </w:r>
      <w:r>
        <w:rPr>
          <w:rFonts w:ascii="宋体" w:hAnsi="宋体"/>
          <w:color w:val="000000"/>
        </w:rPr>
        <w:t>天时蚯蚓体内富集的</w:t>
      </w:r>
      <w:r>
        <w:rPr>
          <w:rFonts w:eastAsia="Times New Roman" w:cs="Times New Roman"/>
          <w:color w:val="000000"/>
        </w:rPr>
        <w:t>TBBPA</w:t>
      </w:r>
      <w:r>
        <w:rPr>
          <w:rFonts w:ascii="宋体" w:hAnsi="宋体"/>
          <w:color w:val="000000"/>
        </w:rPr>
        <w:t>浓度约是初始实验环境中</w:t>
      </w:r>
      <w:r>
        <w:rPr>
          <w:rFonts w:eastAsia="Times New Roman" w:cs="Times New Roman"/>
          <w:color w:val="000000"/>
        </w:rPr>
        <w:t>TBBPA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倍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某学生重复孟德尔豌豆杂交实验，取一粒黄色圆粒</w:t>
      </w:r>
      <w:r>
        <w:rPr>
          <w:rFonts w:eastAsia="Times New Roman" w:cs="Times New Roman"/>
          <w:color w:val="000000"/>
        </w:rPr>
        <w:t>F₁</w:t>
      </w:r>
      <w:r>
        <w:rPr>
          <w:rFonts w:ascii="宋体" w:hAnsi="宋体"/>
          <w:color w:val="000000"/>
        </w:rPr>
        <w:t>种子（</w:t>
      </w:r>
      <w:r>
        <w:rPr>
          <w:rFonts w:eastAsia="Times New Roman" w:cs="Times New Roman"/>
          <w:color w:val="000000"/>
        </w:rPr>
        <w:t>YyRr</w:t>
      </w:r>
      <w:r>
        <w:rPr>
          <w:rFonts w:ascii="宋体" w:hAnsi="宋体"/>
          <w:color w:val="000000"/>
        </w:rPr>
        <w:t>），培养成植株，成熟后随机取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个豆荚，所得</w:t>
      </w:r>
      <w:r>
        <w:rPr>
          <w:rFonts w:eastAsia="Times New Roman" w:cs="Times New Roman"/>
          <w:color w:val="000000"/>
        </w:rPr>
        <w:t>32</w:t>
      </w:r>
      <w:r>
        <w:rPr>
          <w:rFonts w:ascii="宋体" w:hAnsi="宋体"/>
          <w:color w:val="000000"/>
        </w:rPr>
        <w:t>粒豌豆种子表型计数结果如表所示。下列叙述最合理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是（　　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290"/>
        <w:gridCol w:w="660"/>
        <w:gridCol w:w="660"/>
        <w:gridCol w:w="660"/>
        <w:gridCol w:w="660"/>
      </w:tblGrid>
      <w:tr w:rsidR="0036719F">
        <w:trPr>
          <w:trHeight w:val="27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性状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黄色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绿色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圆粒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皱粒</w:t>
            </w:r>
          </w:p>
        </w:tc>
      </w:tr>
      <w:tr w:rsidR="0036719F">
        <w:trPr>
          <w:trHeight w:val="270"/>
        </w:trPr>
        <w:tc>
          <w:tcPr>
            <w:tcW w:w="0" w:type="auto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个数（粒）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12</w:t>
            </w:r>
          </w:p>
        </w:tc>
      </w:tr>
    </w:tbl>
    <w:p w:rsidR="0036719F" w:rsidRDefault="0036719F">
      <w:pPr>
        <w:spacing w:line="360" w:lineRule="auto"/>
        <w:jc w:val="left"/>
        <w:textAlignment w:val="center"/>
        <w:rPr>
          <w:color w:val="000000"/>
        </w:rPr>
      </w:pP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32</w:t>
      </w:r>
      <w:r>
        <w:rPr>
          <w:rFonts w:ascii="宋体" w:hAnsi="宋体"/>
          <w:color w:val="000000"/>
        </w:rPr>
        <w:t>粒种子中有</w:t>
      </w:r>
      <w:r>
        <w:rPr>
          <w:rFonts w:eastAsia="Times New Roman" w:cs="Times New Roman"/>
          <w:color w:val="000000"/>
        </w:rPr>
        <w:t>18</w:t>
      </w:r>
      <w:r>
        <w:rPr>
          <w:rFonts w:ascii="宋体" w:hAnsi="宋体"/>
          <w:color w:val="000000"/>
        </w:rPr>
        <w:t>粒黄色圆粒种子，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粒绿色皱粒种子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实验结果说明含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</w:rPr>
        <w:t>基因配子的活力低于含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</w:rPr>
        <w:t>基因的配子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不同批次随机摘取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个豆荚，所得种子的表型比会有差别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该实验豌豆种子的圆粒与皱粒表型比支持孟德尔分离定律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科研人员以</w:t>
      </w:r>
      <w:r>
        <w:rPr>
          <w:rFonts w:eastAsia="Times New Roman" w:cs="Times New Roman"/>
          <w:color w:val="000000"/>
        </w:rPr>
        <w:t>SA-β-Gal</w:t>
      </w:r>
      <w:r>
        <w:rPr>
          <w:rFonts w:ascii="宋体" w:hAnsi="宋体"/>
          <w:color w:val="000000"/>
        </w:rPr>
        <w:t>作为细胞衰老的分子标志，以</w:t>
      </w:r>
      <w:r>
        <w:rPr>
          <w:rFonts w:eastAsia="Times New Roman" w:cs="Times New Roman"/>
          <w:color w:val="000000"/>
        </w:rPr>
        <w:t>EdU</w:t>
      </w:r>
      <w:r>
        <w:rPr>
          <w:rFonts w:ascii="宋体" w:hAnsi="宋体"/>
          <w:color w:val="000000"/>
        </w:rPr>
        <w:t>作为细胞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复制的标记，揭示了</w:t>
      </w:r>
      <w:r>
        <w:rPr>
          <w:rFonts w:eastAsia="Times New Roman" w:cs="Times New Roman"/>
          <w:color w:val="000000"/>
        </w:rPr>
        <w:t>AP2A1</w:t>
      </w:r>
      <w:r>
        <w:rPr>
          <w:rFonts w:ascii="宋体" w:hAnsi="宋体"/>
          <w:color w:val="000000"/>
        </w:rPr>
        <w:t>蛋白通过调节</w:t>
      </w:r>
      <w:r>
        <w:rPr>
          <w:rFonts w:eastAsia="Times New Roman" w:cs="Times New Roman"/>
          <w:color w:val="000000"/>
        </w:rPr>
        <w:t>p53</w:t>
      </w:r>
      <w:r>
        <w:rPr>
          <w:rFonts w:ascii="宋体" w:hAnsi="宋体"/>
          <w:color w:val="000000"/>
        </w:rPr>
        <w:t>蛋白表达量来影响细胞衰老的机制，实验结果如下图。下列叙述错误的是（　　）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5238750" cy="1604454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04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对照组中也有衰老的细胞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蛋白质</w:t>
      </w:r>
      <w:r>
        <w:rPr>
          <w:rFonts w:eastAsia="Times New Roman" w:cs="Times New Roman"/>
          <w:color w:val="000000"/>
        </w:rPr>
        <w:t>AP2A1</w:t>
      </w:r>
      <w:r>
        <w:rPr>
          <w:rFonts w:ascii="宋体" w:hAnsi="宋体"/>
          <w:color w:val="000000"/>
        </w:rPr>
        <w:t>促进了细胞中</w:t>
      </w:r>
      <w:r>
        <w:rPr>
          <w:rFonts w:eastAsia="Times New Roman" w:cs="Times New Roman"/>
          <w:color w:val="000000"/>
        </w:rPr>
        <w:t>p53</w:t>
      </w:r>
      <w:r>
        <w:rPr>
          <w:rFonts w:ascii="宋体" w:hAnsi="宋体"/>
          <w:color w:val="000000"/>
        </w:rPr>
        <w:t>蛋白积累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据图可推测衰老细胞中各种蛋白质的表达量上升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含</w:t>
      </w:r>
      <w:r>
        <w:rPr>
          <w:rFonts w:eastAsia="Times New Roman" w:cs="Times New Roman"/>
          <w:color w:val="000000"/>
        </w:rPr>
        <w:t>EdU</w:t>
      </w:r>
      <w:r>
        <w:rPr>
          <w:rFonts w:ascii="宋体" w:hAnsi="宋体"/>
          <w:color w:val="000000"/>
        </w:rPr>
        <w:t>标记的细胞所占比例越大，表明细胞增殖越旺盛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大数据时代，全球每天产生海量数据，预计</w:t>
      </w:r>
      <w:r>
        <w:rPr>
          <w:rFonts w:eastAsia="Times New Roman" w:cs="Times New Roman"/>
          <w:color w:val="000000"/>
        </w:rPr>
        <w:t>2040</w:t>
      </w:r>
      <w:r>
        <w:rPr>
          <w:rFonts w:ascii="宋体" w:hAnsi="宋体"/>
          <w:color w:val="000000"/>
        </w:rPr>
        <w:t>年需一百万吨硅基芯片才能储存全球一年产生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数据。为解决这一难题，科学家尝试运用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来储存数据。我国科学家已经将汉代拓片、熊猫照片等文化数据写入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，实现数据长期保存。下列叙述中，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可以作为存储介质的优点不包括（　　）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具有可复制性，有利于数据的传播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可通过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转录和翻译传递相应数据信息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长链中碱基排列的多样化，为大</w:t>
      </w:r>
      <w:r>
        <w:rPr>
          <w:rFonts w:ascii="宋体" w:hAnsi="宋体"/>
          <w:color w:val="000000"/>
        </w:rPr>
        <w:t>量数据的存储提供可能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作为存储介质体积小，为数据携带和保存节约了大量空间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花鼠取食偏好红松球果，且具有分散贮食和遗忘贮藏点的特性。研究人员在</w:t>
      </w:r>
      <w:r>
        <w:rPr>
          <w:rFonts w:eastAsia="Times New Roman" w:cs="Times New Roman"/>
          <w:color w:val="000000"/>
        </w:rPr>
        <w:t>2019~2023</w:t>
      </w:r>
      <w:r>
        <w:rPr>
          <w:rFonts w:ascii="宋体" w:hAnsi="宋体"/>
          <w:color w:val="000000"/>
        </w:rPr>
        <w:t>年间，对某地红松林中花鼠种群数量和红松结实量开展调查，发现</w:t>
      </w:r>
      <w:r>
        <w:rPr>
          <w:rFonts w:eastAsia="Times New Roman" w:cs="Times New Roman"/>
          <w:color w:val="000000"/>
        </w:rPr>
        <w:t>2022</w:t>
      </w:r>
      <w:r>
        <w:rPr>
          <w:rFonts w:ascii="宋体" w:hAnsi="宋体"/>
          <w:color w:val="000000"/>
        </w:rPr>
        <w:t>年红松结实量最高，与其余四年的结实量存在显著差异；其余四年之间的结实量没有显著差异。花鼠种群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年的调查结果如下表。根据上述材料，下列推测合理的是（　　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710"/>
        <w:gridCol w:w="913"/>
        <w:gridCol w:w="913"/>
        <w:gridCol w:w="913"/>
        <w:gridCol w:w="913"/>
        <w:gridCol w:w="913"/>
      </w:tblGrid>
      <w:tr w:rsidR="0036719F">
        <w:trPr>
          <w:trHeight w:val="27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 xml:space="preserve">　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2019</w:t>
            </w:r>
            <w:r>
              <w:rPr>
                <w:rFonts w:ascii="宋体" w:hAnsi="宋体"/>
                <w:color w:val="000000"/>
              </w:rPr>
              <w:t>年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2020</w:t>
            </w:r>
            <w:r>
              <w:rPr>
                <w:rFonts w:ascii="宋体" w:hAnsi="宋体"/>
                <w:color w:val="000000"/>
              </w:rPr>
              <w:t>年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2021</w:t>
            </w:r>
            <w:r>
              <w:rPr>
                <w:rFonts w:ascii="宋体" w:hAnsi="宋体"/>
                <w:color w:val="000000"/>
              </w:rPr>
              <w:t>年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2022</w:t>
            </w:r>
            <w:r>
              <w:rPr>
                <w:rFonts w:ascii="宋体" w:hAnsi="宋体"/>
                <w:color w:val="000000"/>
              </w:rPr>
              <w:t>年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2023</w:t>
            </w:r>
            <w:r>
              <w:rPr>
                <w:rFonts w:ascii="宋体" w:hAnsi="宋体"/>
                <w:color w:val="000000"/>
              </w:rPr>
              <w:t>年</w:t>
            </w:r>
          </w:p>
        </w:tc>
      </w:tr>
      <w:tr w:rsidR="0036719F">
        <w:trPr>
          <w:trHeight w:val="270"/>
        </w:trPr>
        <w:tc>
          <w:tcPr>
            <w:tcW w:w="0" w:type="auto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性比（雌：雄）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0.98</w:t>
            </w:r>
          </w:p>
        </w:tc>
      </w:tr>
      <w:tr w:rsidR="0036719F">
        <w:trPr>
          <w:trHeight w:val="270"/>
        </w:trPr>
        <w:tc>
          <w:tcPr>
            <w:tcW w:w="0" w:type="auto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幼年组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37</w:t>
            </w:r>
          </w:p>
        </w:tc>
      </w:tr>
      <w:tr w:rsidR="0036719F">
        <w:trPr>
          <w:trHeight w:val="270"/>
        </w:trPr>
        <w:tc>
          <w:tcPr>
            <w:tcW w:w="0" w:type="auto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成年组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62</w:t>
            </w:r>
          </w:p>
        </w:tc>
      </w:tr>
      <w:tr w:rsidR="0036719F">
        <w:trPr>
          <w:trHeight w:val="270"/>
        </w:trPr>
        <w:tc>
          <w:tcPr>
            <w:tcW w:w="0" w:type="auto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老年组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6719F" w:rsidRDefault="00D420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</w:tr>
    </w:tbl>
    <w:p w:rsidR="0036719F" w:rsidRDefault="0036719F">
      <w:pPr>
        <w:spacing w:line="360" w:lineRule="auto"/>
        <w:jc w:val="left"/>
        <w:textAlignment w:val="center"/>
        <w:rPr>
          <w:color w:val="000000"/>
        </w:rPr>
      </w:pP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花鼠能促进红松种子的传播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红松结实量受到花鼠种群数量的调控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花鼠的种群数量波动与其性比之间没有关联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从年龄结构分析，上述花鼠种群属于衰退型种群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若在一个随机交配的二倍体生物种群中，偶然出现一个有利突变基因，该突变基因可能是隐性或显性，具有突变表型的个体更容易生存和繁衍。图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与图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是在自然选择下突变基因的频率变化趋势图。据图分析，下列叙述正确的是（　　）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19400" cy="183832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noProof/>
          <w:color w:val="000000"/>
        </w:rPr>
        <w:drawing>
          <wp:inline distT="0" distB="0" distL="0" distR="0">
            <wp:extent cx="2819400" cy="18573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曲线在</w:t>
      </w:r>
      <w:r>
        <w:rPr>
          <w:rFonts w:eastAsia="Times New Roman" w:cs="Times New Roman"/>
          <w:color w:val="000000"/>
        </w:rPr>
        <w:t>1200</w:t>
      </w:r>
      <w:r>
        <w:rPr>
          <w:rFonts w:ascii="宋体" w:hAnsi="宋体"/>
          <w:color w:val="000000"/>
        </w:rPr>
        <w:t>代左右时形成了新物种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对比图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与图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，推测图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中有利突变基因为隐性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随着世代数的增加，图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曲线的峰值只能接近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，无法等于</w:t>
      </w:r>
      <w:r>
        <w:rPr>
          <w:rFonts w:eastAsia="Times New Roman" w:cs="Times New Roman"/>
          <w:color w:val="000000"/>
        </w:rPr>
        <w:t>1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曲线在</w:t>
      </w:r>
      <w:r>
        <w:rPr>
          <w:rFonts w:eastAsia="Times New Roman" w:cs="Times New Roman"/>
          <w:color w:val="000000"/>
        </w:rPr>
        <w:t>200~400</w:t>
      </w:r>
      <w:r>
        <w:rPr>
          <w:rFonts w:ascii="宋体" w:hAnsi="宋体"/>
          <w:color w:val="000000"/>
        </w:rPr>
        <w:t>代增长慢，推测该阶段含有利基因的纯合体占比少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研究表明，人体肠道中某些微生物合成、分泌的植物激素生长素，能增强癌症患者对化疗药物的响应，改善胰腺癌、结直肠癌和肺癌等的治疗效果。进一步研究发现，色氨酸可提高血清中生长素的水平：生长素通过抑制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酶（自由基清除酶）的活性，增强化疗药物对癌细胞的杀伤作用。下列叙述错误的是（　　）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自由基对癌细胞和正常细胞都有毒害作用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富含色氨酸的食品能改善癌症患者的化疗效果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患者个体肠道微生物种群差异可能会影响癌症化疗效果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该研究结果表明生长素可作为一种潜在的化疗药物用于癌症治疗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color w:val="000000"/>
        </w:rPr>
        <w:t>研究表明，人类</w:t>
      </w:r>
      <w:r>
        <w:rPr>
          <w:color w:val="000000"/>
        </w:rPr>
        <w:t>女性体细胞中仅有一条</w:t>
      </w:r>
      <w:r>
        <w:rPr>
          <w:color w:val="000000"/>
        </w:rPr>
        <w:t>X</w:t>
      </w:r>
      <w:r>
        <w:rPr>
          <w:color w:val="000000"/>
        </w:rPr>
        <w:t>染色体保持活性，从而使女性与男性体细胞中</w:t>
      </w:r>
      <w:r>
        <w:rPr>
          <w:color w:val="000000"/>
        </w:rPr>
        <w:t>X</w:t>
      </w:r>
      <w:r>
        <w:rPr>
          <w:color w:val="000000"/>
        </w:rPr>
        <w:t>染色体基因表达水平相当。基因</w:t>
      </w:r>
      <w:r>
        <w:rPr>
          <w:color w:val="000000"/>
        </w:rPr>
        <w:t>G</w:t>
      </w:r>
      <w:r>
        <w:rPr>
          <w:color w:val="000000"/>
        </w:rPr>
        <w:t>编码</w:t>
      </w:r>
      <w:r>
        <w:rPr>
          <w:color w:val="000000"/>
        </w:rPr>
        <w:t>G</w:t>
      </w:r>
      <w:r>
        <w:rPr>
          <w:color w:val="000000"/>
        </w:rPr>
        <w:t>蛋白，其等位基因</w:t>
      </w:r>
      <w:r>
        <w:rPr>
          <w:color w:val="000000"/>
        </w:rPr>
        <w:t>g</w:t>
      </w:r>
      <w:r>
        <w:rPr>
          <w:color w:val="000000"/>
        </w:rPr>
        <w:t>编码活性低的</w:t>
      </w:r>
      <w:r>
        <w:rPr>
          <w:color w:val="000000"/>
        </w:rPr>
        <w:t>g</w:t>
      </w:r>
      <w:r>
        <w:rPr>
          <w:color w:val="000000"/>
        </w:rPr>
        <w:t>蛋白。缺失</w:t>
      </w:r>
      <w:r>
        <w:rPr>
          <w:color w:val="000000"/>
        </w:rPr>
        <w:t>G</w:t>
      </w:r>
      <w:r>
        <w:rPr>
          <w:color w:val="000000"/>
        </w:rPr>
        <w:t>基因的个体会患某种遗传病。图示为该疾病的一个家族系谱图，已知</w:t>
      </w:r>
      <w:r>
        <w:rPr>
          <w:color w:val="000000"/>
        </w:rPr>
        <w:t>Ⅱ-I</w:t>
      </w:r>
      <w:r>
        <w:rPr>
          <w:color w:val="000000"/>
        </w:rPr>
        <w:t>不含</w:t>
      </w:r>
      <w:r>
        <w:rPr>
          <w:color w:val="000000"/>
        </w:rPr>
        <w:t>g</w:t>
      </w:r>
      <w:r>
        <w:rPr>
          <w:color w:val="000000"/>
        </w:rPr>
        <w:t>基因。随机选取</w:t>
      </w:r>
      <w:r>
        <w:rPr>
          <w:color w:val="000000"/>
        </w:rPr>
        <w:t>Ⅲ-5</w:t>
      </w:r>
      <w:r>
        <w:rPr>
          <w:color w:val="000000"/>
        </w:rPr>
        <w:t>体内</w:t>
      </w:r>
      <w:r>
        <w:rPr>
          <w:color w:val="000000"/>
        </w:rPr>
        <w:t>200</w:t>
      </w:r>
      <w:r>
        <w:rPr>
          <w:color w:val="000000"/>
        </w:rPr>
        <w:t>个体细胞，分析发现其中</w:t>
      </w:r>
      <w:r>
        <w:rPr>
          <w:color w:val="000000"/>
        </w:rPr>
        <w:t>100</w:t>
      </w:r>
      <w:r>
        <w:rPr>
          <w:color w:val="000000"/>
        </w:rPr>
        <w:t>个细胞只表达</w:t>
      </w:r>
      <w:r>
        <w:rPr>
          <w:color w:val="000000"/>
        </w:rPr>
        <w:t>G</w:t>
      </w:r>
      <w:r>
        <w:rPr>
          <w:color w:val="000000"/>
        </w:rPr>
        <w:t>蛋白，另外</w:t>
      </w:r>
      <w:r>
        <w:rPr>
          <w:color w:val="000000"/>
        </w:rPr>
        <w:t>100</w:t>
      </w:r>
      <w:r>
        <w:rPr>
          <w:color w:val="000000"/>
        </w:rPr>
        <w:t>个细胞只表达</w:t>
      </w:r>
      <w:r>
        <w:rPr>
          <w:color w:val="000000"/>
        </w:rPr>
        <w:t>g</w:t>
      </w:r>
      <w:r>
        <w:rPr>
          <w:color w:val="000000"/>
        </w:rPr>
        <w:t>蛋白。下列叙述正确的是（　　）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4286250" cy="15716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Ⅲ-3</w:t>
      </w:r>
      <w:r>
        <w:rPr>
          <w:color w:val="000000"/>
        </w:rPr>
        <w:t>个体的致病基因可追溯源自</w:t>
      </w:r>
      <w:r>
        <w:rPr>
          <w:color w:val="000000"/>
        </w:rPr>
        <w:t>I-2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B. Ⅲ-5</w:t>
      </w:r>
      <w:r>
        <w:rPr>
          <w:color w:val="000000"/>
        </w:rPr>
        <w:t>细胞中失活的</w:t>
      </w:r>
      <w:r>
        <w:rPr>
          <w:color w:val="000000"/>
        </w:rPr>
        <w:t>X</w:t>
      </w:r>
      <w:r>
        <w:rPr>
          <w:color w:val="000000"/>
        </w:rPr>
        <w:t>染色体源自母方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 Ⅲ-2</w:t>
      </w:r>
      <w:r>
        <w:rPr>
          <w:color w:val="000000"/>
        </w:rPr>
        <w:t>所有细胞中可能检测不出</w:t>
      </w:r>
      <w:r>
        <w:rPr>
          <w:color w:val="000000"/>
        </w:rPr>
        <w:t>g</w:t>
      </w:r>
      <w:r>
        <w:rPr>
          <w:color w:val="000000"/>
        </w:rPr>
        <w:t>蛋白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t>若</w:t>
      </w:r>
      <w:r>
        <w:rPr>
          <w:color w:val="000000"/>
        </w:rPr>
        <w:t>Ⅲ-6</w:t>
      </w:r>
      <w:r>
        <w:rPr>
          <w:color w:val="000000"/>
        </w:rPr>
        <w:t>与某男性婚配，预</w:t>
      </w:r>
      <w:r>
        <w:rPr>
          <w:color w:val="000000"/>
        </w:rPr>
        <w:t>期生出一个不患该遗传病男孩的概率是</w:t>
      </w:r>
      <w:r>
        <w:rPr>
          <w:color w:val="000000"/>
        </w:rPr>
        <w:t>1/2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二、非选择题：本题共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64</w:t>
      </w:r>
      <w:r>
        <w:rPr>
          <w:rFonts w:ascii="宋体" w:hAnsi="宋体"/>
          <w:b/>
          <w:color w:val="000000"/>
          <w:sz w:val="24"/>
        </w:rPr>
        <w:t>分。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某种昆虫病毒的遗传物质为双链环状</w:t>
      </w:r>
      <w:r>
        <w:rPr>
          <w:rFonts w:eastAsia="Times New Roman" w:cs="Times New Roman"/>
          <w:color w:val="000000"/>
        </w:rPr>
        <w:t>DNA.</w:t>
      </w:r>
      <w:r>
        <w:rPr>
          <w:rFonts w:ascii="宋体" w:hAnsi="宋体"/>
          <w:color w:val="000000"/>
        </w:rPr>
        <w:t>该病毒具有包膜结构，包膜上的蛋白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与宿主细胞膜上的受体结合后，两者的膜发生融合，从而使病毒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进入细胞内进行自我复制。回答下列问题：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要清楚观察病毒的形态结构需要使用的显微镜类型是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体外培养的梭形昆虫细胞，被上述病毒感染后会转变为圆球形，原因是病毒感染引起了昆虫细胞内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（填细胞结构名称）的改变。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这类病毒的基因组中通常含有抗细胞凋亡的基因，这类基因对病毒的生物学意义是：</w:t>
      </w:r>
      <w:r>
        <w:rPr>
          <w:rFonts w:eastAsia="Times New Roman" w:cs="Times New Roman"/>
          <w:color w:val="000000"/>
        </w:rPr>
        <w:t xml:space="preserve"> 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该病毒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能在宿主细胞中自我复制，却无法在大肠杆菌中复制。为解决这一问题，可在该病毒的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中插入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序列，以实现利用大肠杆菌扩增该病毒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的目的。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用该病毒感染哺乳动物细胞，可以在细胞内检测到该病毒完整的基因组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，但无对应的转录产物。推测其无法转录的原因是：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采用脂溶剂处理该病毒颗粒可使病毒失去对宿主细胞的感染性，其原因是：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eastAsia="Times New Roman" w:cs="Times New Roman"/>
          <w:color w:val="000000"/>
        </w:rPr>
        <w:t>mRNA-X</w:t>
      </w:r>
      <w:r>
        <w:rPr>
          <w:rFonts w:ascii="宋体" w:hAnsi="宋体"/>
          <w:color w:val="000000"/>
        </w:rPr>
        <w:t>是一款新型肿瘤治疗性疫苗，可编码肿瘤抗原，刺激机体产生特异性免疫，从而杀死肿瘤细胞（部分过程如图所示）。该疫苗是由脂质材料包裹特定序列的</w:t>
      </w:r>
      <w:r>
        <w:rPr>
          <w:rFonts w:eastAsia="Times New Roman" w:cs="Times New Roman"/>
          <w:color w:val="000000"/>
        </w:rPr>
        <w:t>mRNA</w:t>
      </w:r>
      <w:r>
        <w:rPr>
          <w:rFonts w:ascii="宋体" w:hAnsi="宋体"/>
          <w:color w:val="000000"/>
        </w:rPr>
        <w:t>所构成。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bookmarkStart w:id="0" w:name="_GoBack"/>
      <w:r>
        <w:rPr>
          <w:noProof/>
          <w:color w:val="000000"/>
        </w:rPr>
        <w:drawing>
          <wp:inline distT="0" distB="0" distL="0" distR="0">
            <wp:extent cx="3943350" cy="1885008"/>
            <wp:effectExtent l="0" t="0" r="0" b="1270"/>
            <wp:docPr id="100015" name="图片 100015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1885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回答下列问题：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</w:t>
      </w:r>
      <w:r>
        <w:rPr>
          <w:rFonts w:eastAsia="Times New Roman" w:cs="Times New Roman"/>
          <w:color w:val="000000"/>
        </w:rPr>
        <w:t>mRNA-X</w:t>
      </w:r>
      <w:r>
        <w:rPr>
          <w:rFonts w:ascii="宋体" w:hAnsi="宋体"/>
          <w:color w:val="000000"/>
        </w:rPr>
        <w:t>疫苗制备过程中，可依据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序列来合成对应的</w:t>
      </w:r>
      <w:r>
        <w:rPr>
          <w:rFonts w:eastAsia="Times New Roman" w:cs="Times New Roman"/>
          <w:color w:val="000000"/>
        </w:rPr>
        <w:t>mRNA.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据图分析，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溶酶体逃逸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的作用是：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细胞乙增殖分化为细胞丙和丁，主要得益于两种信号刺激，分别是：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、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图中细胞丁的名称是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，其作用是：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相对于放射治疗，利用</w:t>
      </w:r>
      <w:r>
        <w:rPr>
          <w:rFonts w:eastAsia="Times New Roman" w:cs="Times New Roman"/>
          <w:color w:val="000000"/>
        </w:rPr>
        <w:t>mRNA</w:t>
      </w:r>
      <w:r>
        <w:rPr>
          <w:rFonts w:ascii="宋体" w:hAnsi="宋体"/>
          <w:color w:val="000000"/>
        </w:rPr>
        <w:t>疫苗治疗癌症的优点是：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（回答一点即可）。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在荒漠生态系统中，螨虫、跳虫等小型节肢动物对凋落物和有机碎屑的分解发挥着重要作用，这种作用主要是通过取食真菌、传播真菌孢子和捕食噬菌线虫来完成的。基于此，科研人员开展了以下两个相关实验：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实验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：分别使用杀真菌剂和杀虫剂（杀灭小型节肢动物）对荒漠灌木植物柠条的凋落物和有机碎屑进行处理，发现使用杀真菌剂后，分解作用减少了</w:t>
      </w:r>
      <w:r>
        <w:rPr>
          <w:rFonts w:eastAsia="Times New Roman" w:cs="Times New Roman"/>
          <w:color w:val="000000"/>
        </w:rPr>
        <w:t>29%</w:t>
      </w:r>
      <w:r>
        <w:rPr>
          <w:rFonts w:ascii="宋体" w:hAnsi="宋体"/>
          <w:color w:val="000000"/>
        </w:rPr>
        <w:t>；使用杀虫剂后，分解作用减少了</w:t>
      </w:r>
      <w:r>
        <w:rPr>
          <w:rFonts w:eastAsia="Times New Roman" w:cs="Times New Roman"/>
          <w:color w:val="000000"/>
        </w:rPr>
        <w:t>53%</w:t>
      </w:r>
      <w:r>
        <w:rPr>
          <w:rFonts w:ascii="宋体" w:hAnsi="宋体"/>
          <w:color w:val="000000"/>
        </w:rPr>
        <w:t>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实验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：清除柠条凋</w:t>
      </w:r>
      <w:r>
        <w:rPr>
          <w:rFonts w:ascii="宋体" w:hAnsi="宋体"/>
          <w:color w:val="000000"/>
        </w:rPr>
        <w:t>落物和有机碎屑中的小型节肢动物（主要是螨虫），使得噬菌线虫（取食细菌等）数量增加、细菌数量减少，分解作用减少</w:t>
      </w:r>
      <w:r>
        <w:rPr>
          <w:rFonts w:eastAsia="Times New Roman" w:cs="Times New Roman"/>
          <w:color w:val="000000"/>
        </w:rPr>
        <w:t>40%</w:t>
      </w:r>
      <w:r>
        <w:rPr>
          <w:rFonts w:ascii="宋体" w:hAnsi="宋体"/>
          <w:color w:val="000000"/>
        </w:rPr>
        <w:t>；而清除噬菌线虫和小型节肢动物，使细菌数量增加。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回答下列问题：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区别荒漠群落和森林群落的重要依据是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上述荒漠生态系统中，排除小型节肢动物后，噬菌线虫种群增长曲线呈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形；清除线虫和小型节肢动物后，生态系统抵抗力稳定性的变化是：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（填序号）。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变强</w:t>
      </w:r>
      <w:r>
        <w:rPr>
          <w:color w:val="000000"/>
        </w:rPr>
        <w:t xml:space="preserve">        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不变</w:t>
      </w:r>
      <w:r>
        <w:rPr>
          <w:color w:val="000000"/>
        </w:rPr>
        <w:t xml:space="preserve">        </w:t>
      </w: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变弱</w:t>
      </w:r>
      <w:r>
        <w:rPr>
          <w:color w:val="000000"/>
        </w:rPr>
        <w:t xml:space="preserve">        </w:t>
      </w:r>
      <w:r>
        <w:rPr>
          <w:rFonts w:ascii="宋体" w:hAnsi="宋体"/>
          <w:color w:val="000000"/>
        </w:rPr>
        <w:t>④</w:t>
      </w:r>
      <w:r>
        <w:rPr>
          <w:rFonts w:ascii="宋体" w:hAnsi="宋体"/>
          <w:color w:val="000000"/>
        </w:rPr>
        <w:t>无法判断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</w:t>
      </w:r>
      <w:r>
        <w:rPr>
          <w:rFonts w:ascii="宋体" w:hAnsi="宋体"/>
          <w:color w:val="000000"/>
        </w:rPr>
        <w:t>据上述材料，画出噬菌线虫的能量输入与输出的示意图：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根据上述材料分析，螨虫通过直接调节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的种群大小，从而对荒漠生态系统中凋落物和有机碎屑的分解产生影响。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从生态系统功能的角度，评价杀虫剂等农药对生态系统的影响：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治疗疟疾的药物青蒿素主要从植物黄花蒿中提取，但含量低。为培育青蒿素含量高的黄花蒿新品种，科研工作者开展了相关研究，发现青蒿素主要在叶片的腺毛中合成与积累，并受到如水杨酸（</w:t>
      </w:r>
      <w:r>
        <w:rPr>
          <w:rFonts w:eastAsia="Times New Roman" w:cs="Times New Roman"/>
          <w:color w:val="000000"/>
        </w:rPr>
        <w:t>SA</w:t>
      </w:r>
      <w:r>
        <w:rPr>
          <w:rFonts w:ascii="宋体" w:hAnsi="宋体"/>
          <w:color w:val="000000"/>
        </w:rPr>
        <w:t>）和茉莉酸甲酯（</w:t>
      </w:r>
      <w:r>
        <w:rPr>
          <w:rFonts w:eastAsia="Times New Roman" w:cs="Times New Roman"/>
          <w:color w:val="000000"/>
        </w:rPr>
        <w:t>MeJA</w:t>
      </w:r>
      <w:r>
        <w:rPr>
          <w:rFonts w:ascii="宋体" w:hAnsi="宋体"/>
          <w:color w:val="000000"/>
        </w:rPr>
        <w:t>）等植物激素的调节。</w:t>
      </w:r>
      <w:r>
        <w:rPr>
          <w:rFonts w:ascii="宋体" w:hAnsi="宋体"/>
          <w:color w:val="000000"/>
        </w:rPr>
        <w:t>研究表明，</w:t>
      </w:r>
      <w:r>
        <w:rPr>
          <w:rFonts w:eastAsia="Times New Roman" w:cs="Times New Roman"/>
          <w:color w:val="000000"/>
        </w:rPr>
        <w:t>SA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MeJA</w:t>
      </w:r>
      <w:r>
        <w:rPr>
          <w:rFonts w:ascii="宋体" w:hAnsi="宋体"/>
          <w:color w:val="000000"/>
        </w:rPr>
        <w:t>通过调控</w:t>
      </w:r>
      <w:r>
        <w:rPr>
          <w:rFonts w:eastAsia="Times New Roman" w:cs="Times New Roman"/>
          <w:color w:val="000000"/>
        </w:rPr>
        <w:t>miR160</w:t>
      </w:r>
      <w:r>
        <w:rPr>
          <w:rFonts w:ascii="宋体" w:hAnsi="宋体"/>
          <w:color w:val="000000"/>
        </w:rPr>
        <w:t>的表达量（</w:t>
      </w:r>
      <w:r>
        <w:rPr>
          <w:rFonts w:eastAsia="Times New Roman" w:cs="Times New Roman"/>
          <w:color w:val="000000"/>
        </w:rPr>
        <w:t>miR160</w:t>
      </w:r>
      <w:r>
        <w:rPr>
          <w:rFonts w:ascii="宋体" w:hAnsi="宋体"/>
          <w:color w:val="000000"/>
        </w:rPr>
        <w:t>是一种微小</w:t>
      </w:r>
      <w:r>
        <w:rPr>
          <w:rFonts w:eastAsia="Times New Roman" w:cs="Times New Roman"/>
          <w:color w:val="000000"/>
        </w:rPr>
        <w:t>RNA</w:t>
      </w:r>
      <w:r>
        <w:rPr>
          <w:rFonts w:ascii="宋体" w:hAnsi="宋体"/>
          <w:color w:val="000000"/>
        </w:rPr>
        <w:t>，能与靶</w:t>
      </w:r>
      <w:r>
        <w:rPr>
          <w:rFonts w:eastAsia="Times New Roman" w:cs="Times New Roman"/>
          <w:color w:val="000000"/>
        </w:rPr>
        <w:t>mRNA</w:t>
      </w:r>
      <w:r>
        <w:rPr>
          <w:rFonts w:ascii="宋体" w:hAnsi="宋体"/>
          <w:color w:val="000000"/>
        </w:rPr>
        <w:t>结合，引起后者降解），影响黄花蒿腺毛密度和青蒿素含量。</w:t>
      </w:r>
      <w:r>
        <w:rPr>
          <w:rFonts w:eastAsia="Times New Roman" w:cs="Times New Roman"/>
          <w:color w:val="000000"/>
        </w:rPr>
        <w:t>miR160</w:t>
      </w:r>
      <w:r>
        <w:rPr>
          <w:rFonts w:ascii="宋体" w:hAnsi="宋体"/>
          <w:color w:val="000000"/>
        </w:rPr>
        <w:t>的一种靶</w:t>
      </w:r>
      <w:r>
        <w:rPr>
          <w:rFonts w:eastAsia="Times New Roman" w:cs="Times New Roman"/>
          <w:color w:val="000000"/>
        </w:rPr>
        <w:t>mRNA</w:t>
      </w:r>
      <w:r>
        <w:rPr>
          <w:rFonts w:ascii="宋体" w:hAnsi="宋体"/>
          <w:color w:val="000000"/>
        </w:rPr>
        <w:t>编码</w:t>
      </w:r>
      <w:r>
        <w:rPr>
          <w:rFonts w:eastAsia="Times New Roman" w:cs="Times New Roman"/>
          <w:color w:val="000000"/>
        </w:rPr>
        <w:t>ARFI</w:t>
      </w:r>
      <w:r>
        <w:rPr>
          <w:rFonts w:ascii="宋体" w:hAnsi="宋体"/>
          <w:color w:val="000000"/>
        </w:rPr>
        <w:t>蛋白，该蛋白影响青蒿素合成关键酶基因</w:t>
      </w:r>
      <w:r>
        <w:rPr>
          <w:rFonts w:eastAsia="Times New Roman" w:cs="Times New Roman"/>
          <w:color w:val="000000"/>
        </w:rPr>
        <w:t>DBR2</w:t>
      </w:r>
      <w:r>
        <w:rPr>
          <w:rFonts w:ascii="宋体" w:hAnsi="宋体"/>
          <w:color w:val="000000"/>
        </w:rPr>
        <w:t>的表达。研究结果如图所示。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5114925" cy="22574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回答下列问题：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青蒿素主要在叶片的腺毛中合成与积累，其根本原因是：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据图分析可知，</w:t>
      </w:r>
      <w:r>
        <w:rPr>
          <w:rFonts w:eastAsia="Times New Roman" w:cs="Times New Roman"/>
          <w:color w:val="000000"/>
        </w:rPr>
        <w:t>miR160</w:t>
      </w:r>
      <w:r>
        <w:rPr>
          <w:rFonts w:ascii="宋体" w:hAnsi="宋体"/>
          <w:color w:val="000000"/>
        </w:rPr>
        <w:t>的表达量与青蒿素含量间呈现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相关性，并且可以推测外源</w:t>
      </w:r>
      <w:r>
        <w:rPr>
          <w:rFonts w:eastAsia="Times New Roman" w:cs="Times New Roman"/>
          <w:color w:val="000000"/>
        </w:rPr>
        <w:t>MeJA</w:t>
      </w:r>
      <w:r>
        <w:rPr>
          <w:rFonts w:ascii="宋体" w:hAnsi="宋体"/>
          <w:color w:val="000000"/>
        </w:rPr>
        <w:t>处理对青蒿素含量的影响是：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基于上述材料，</w:t>
      </w:r>
      <w:r>
        <w:rPr>
          <w:rFonts w:eastAsia="Times New Roman" w:cs="Times New Roman"/>
          <w:color w:val="000000"/>
        </w:rPr>
        <w:t>miR160</w:t>
      </w:r>
      <w:r>
        <w:rPr>
          <w:rFonts w:ascii="宋体" w:hAnsi="宋体"/>
          <w:color w:val="000000"/>
        </w:rPr>
        <w:t>通过直接影响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，调控青蒿素的合成。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请写出</w:t>
      </w:r>
      <w:r>
        <w:rPr>
          <w:rFonts w:eastAsia="Times New Roman" w:cs="Times New Roman"/>
          <w:color w:val="000000"/>
        </w:rPr>
        <w:t>SA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ARFI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miR160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DBR2</w:t>
      </w:r>
      <w:r>
        <w:rPr>
          <w:rFonts w:ascii="宋体" w:hAnsi="宋体"/>
          <w:color w:val="000000"/>
        </w:rPr>
        <w:t>调控青蒿素生物合成的通路（用</w:t>
      </w:r>
      <w:r>
        <w:rPr>
          <w:rFonts w:ascii="宋体" w:hAnsi="宋体"/>
          <w:color w:val="000000"/>
        </w:rPr>
        <w:t>“→”</w:t>
      </w:r>
      <w:r>
        <w:rPr>
          <w:rFonts w:ascii="宋体" w:hAnsi="宋体"/>
          <w:color w:val="000000"/>
        </w:rPr>
        <w:t>表示促进，用</w:t>
      </w:r>
      <w:r>
        <w:rPr>
          <w:rFonts w:ascii="宋体" w:hAnsi="宋体"/>
          <w:color w:val="000000"/>
        </w:rPr>
        <w:t>“—</w:t>
      </w:r>
      <w:r>
        <w:rPr>
          <w:rFonts w:eastAsia="Times New Roman" w:cs="Times New Roman"/>
          <w:color w:val="000000"/>
        </w:rPr>
        <w:t>|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表示抑制，显示各成员间的调控关系）：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:rsidR="0036719F" w:rsidRDefault="00D420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请根据上述材料，提出一种培育青蒿素含量高的黄花蒿新品种的思路：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sectPr w:rsidR="0036719F" w:rsidSect="00C321EB">
      <w:headerReference w:type="default" r:id="rId19"/>
      <w:footerReference w:type="default" r:id="rId20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4205F" w:rsidRDefault="00D4205F">
      <w:r>
        <w:separator/>
      </w:r>
    </w:p>
  </w:endnote>
  <w:endnote w:type="continuationSeparator" w:id="0">
    <w:p w:rsidR="00D4205F" w:rsidRDefault="00D420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278E" w:rsidRDefault="00D4205F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8D71A2">
      <w:rPr>
        <w:noProof/>
      </w:rPr>
      <w:t>9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8D71A2">
      <w:rPr>
        <w:noProof/>
      </w:rPr>
      <w:t>9</w:t>
    </w:r>
    <w:r>
      <w:fldChar w:fldCharType="end"/>
    </w:r>
    <w:r>
      <w:t>页</w:t>
    </w:r>
  </w:p>
  <w:p w:rsidR="0090278E" w:rsidRDefault="0090278E">
    <w:pPr>
      <w:pStyle w:val="a4"/>
    </w:pPr>
  </w:p>
  <w:p w:rsidR="004151FC" w:rsidRDefault="00D4205F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5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3076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4205F" w:rsidRDefault="00D4205F">
      <w:r>
        <w:separator/>
      </w:r>
    </w:p>
  </w:footnote>
  <w:footnote w:type="continuationSeparator" w:id="0">
    <w:p w:rsidR="00D4205F" w:rsidRDefault="00D4205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51FC" w:rsidRDefault="00D4205F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3073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96CEE7AA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5CC3474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A1D27A68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81726478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A6AA6DB6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80581FD8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E8165A62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ED126DD8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8BC4677C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7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6719F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8D71A2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C4530"/>
    <w:rsid w:val="00BE1BCD"/>
    <w:rsid w:val="00C02815"/>
    <w:rsid w:val="00C02FC6"/>
    <w:rsid w:val="00C321EB"/>
    <w:rsid w:val="00CA4A07"/>
    <w:rsid w:val="00D4205F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a0"/>
    <w:link w:val="a3"/>
    <w:uiPriority w:val="99"/>
    <w:rsid w:val="003102DB"/>
    <w:rPr>
      <w:kern w:val="2"/>
      <w:sz w:val="18"/>
      <w:szCs w:val="24"/>
    </w:rPr>
  </w:style>
  <w:style w:type="paragraph" w:styleId="a5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6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7">
    <w:name w:val="List Paragraph"/>
    <w:basedOn w:val="a"/>
    <w:uiPriority w:val="99"/>
    <w:qFormat/>
    <w:rsid w:val="00EA0188"/>
    <w:pPr>
      <w:ind w:firstLineChars="200" w:firstLine="420"/>
    </w:pPr>
  </w:style>
  <w:style w:type="paragraph" w:styleId="a8">
    <w:name w:val="Balloon Text"/>
    <w:basedOn w:val="a"/>
    <w:link w:val="Char0"/>
    <w:semiHidden/>
    <w:unhideWhenUsed/>
    <w:rsid w:val="00BC4530"/>
    <w:rPr>
      <w:sz w:val="18"/>
      <w:szCs w:val="18"/>
    </w:rPr>
  </w:style>
  <w:style w:type="character" w:customStyle="1" w:styleId="Char0">
    <w:name w:val="批注框文本 Char"/>
    <w:basedOn w:val="a0"/>
    <w:link w:val="a8"/>
    <w:semiHidden/>
    <w:rsid w:val="00BC4530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a0"/>
    <w:link w:val="a3"/>
    <w:uiPriority w:val="99"/>
    <w:rsid w:val="003102DB"/>
    <w:rPr>
      <w:kern w:val="2"/>
      <w:sz w:val="18"/>
      <w:szCs w:val="24"/>
    </w:rPr>
  </w:style>
  <w:style w:type="paragraph" w:styleId="a5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6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7">
    <w:name w:val="List Paragraph"/>
    <w:basedOn w:val="a"/>
    <w:uiPriority w:val="99"/>
    <w:qFormat/>
    <w:rsid w:val="00EA0188"/>
    <w:pPr>
      <w:ind w:firstLineChars="200" w:firstLine="420"/>
    </w:pPr>
  </w:style>
  <w:style w:type="paragraph" w:styleId="a8">
    <w:name w:val="Balloon Text"/>
    <w:basedOn w:val="a"/>
    <w:link w:val="Char0"/>
    <w:semiHidden/>
    <w:unhideWhenUsed/>
    <w:rsid w:val="00BC4530"/>
    <w:rPr>
      <w:sz w:val="18"/>
      <w:szCs w:val="18"/>
    </w:rPr>
  </w:style>
  <w:style w:type="character" w:customStyle="1" w:styleId="Char0">
    <w:name w:val="批注框文本 Char"/>
    <w:basedOn w:val="a0"/>
    <w:link w:val="a8"/>
    <w:semiHidden/>
    <w:rsid w:val="00BC4530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wmf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D17873-EE3B-4EBC-8DC4-EA4FFE2B0B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9</Pages>
  <Words>956</Words>
  <Characters>5450</Characters>
  <Application>Microsoft Office Word</Application>
  <DocSecurity>0</DocSecurity>
  <Lines>45</Lines>
  <Paragraphs>12</Paragraphs>
  <ScaleCrop>false</ScaleCrop>
  <Company>学科网 www.zxxk.com</Company>
  <LinksUpToDate>false</LinksUpToDate>
  <CharactersWithSpaces>6394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学科网试题生产平台</dc:creator>
  <dc:description>3779015789731840</dc:description>
  <cp:lastModifiedBy>xb21cn</cp:lastModifiedBy>
  <cp:revision>11</cp:revision>
  <dcterms:created xsi:type="dcterms:W3CDTF">2025-06-19T10:00:00Z</dcterms:created>
  <dcterms:modified xsi:type="dcterms:W3CDTF">2025-06-19T05:51:00Z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