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5860" w:rsidRPr="00BE1BCD" w:rsidRDefault="009D25A1">
      <w:pPr>
        <w:spacing w:line="360" w:lineRule="auto"/>
        <w:jc w:val="left"/>
      </w:pPr>
      <w:bookmarkStart w:id="0" w:name="_GoBack"/>
      <w:bookmarkEnd w:id="0"/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12204700</wp:posOffset>
            </wp:positionH>
            <wp:positionV relativeFrom="topMargin">
              <wp:posOffset>10960100</wp:posOffset>
            </wp:positionV>
            <wp:extent cx="317500" cy="3429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机密</w:t>
      </w:r>
      <w:r>
        <w:rPr>
          <w:rFonts w:ascii="Segoe UI Symbol" w:eastAsia="Segoe UI Symbol" w:hAnsi="Segoe UI Symbol" w:cs="Segoe UI Symbol"/>
          <w:b/>
          <w:sz w:val="24"/>
        </w:rPr>
        <w:t>★</w:t>
      </w:r>
      <w:r>
        <w:rPr>
          <w:rFonts w:ascii="宋体" w:hAnsi="宋体"/>
          <w:b/>
          <w:sz w:val="24"/>
        </w:rPr>
        <w:t>本科目考试启用前</w:t>
      </w:r>
    </w:p>
    <w:p w:rsidR="00FC5860" w:rsidRPr="00BE1BCD" w:rsidRDefault="009D25A1">
      <w:pPr>
        <w:spacing w:line="360" w:lineRule="auto"/>
        <w:jc w:val="center"/>
      </w:pPr>
      <w:r>
        <w:rPr>
          <w:rFonts w:ascii="宋体" w:hAnsi="宋体"/>
          <w:b/>
          <w:sz w:val="32"/>
        </w:rPr>
        <w:t>北京市</w:t>
      </w: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年普通高中学业水平等级性考试</w:t>
      </w:r>
    </w:p>
    <w:p w:rsidR="00FC5860" w:rsidRPr="00BE1BCD" w:rsidRDefault="009D25A1">
      <w:pPr>
        <w:spacing w:line="360" w:lineRule="auto"/>
        <w:jc w:val="center"/>
      </w:pPr>
      <w:r>
        <w:rPr>
          <w:rFonts w:ascii="宋体" w:hAnsi="宋体"/>
          <w:b/>
          <w:sz w:val="32"/>
        </w:rPr>
        <w:t>生物</w:t>
      </w:r>
    </w:p>
    <w:p w:rsidR="00FC5860" w:rsidRPr="00BE1BCD" w:rsidRDefault="009D25A1">
      <w:pPr>
        <w:spacing w:line="360" w:lineRule="auto"/>
        <w:jc w:val="left"/>
      </w:pPr>
      <w:r>
        <w:rPr>
          <w:rFonts w:ascii="宋体" w:hAnsi="宋体"/>
          <w:b/>
          <w:sz w:val="24"/>
        </w:rPr>
        <w:t>本试卷共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页，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分。考试时长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分钟。考生务必将答案答在答题卡上，在试卷上作答无效。考试结束后，将本试卷和答题卡一并交回。</w:t>
      </w:r>
    </w:p>
    <w:p w:rsidR="00FC5860" w:rsidRPr="00BE1BCD" w:rsidRDefault="009D25A1">
      <w:pPr>
        <w:spacing w:line="360" w:lineRule="auto"/>
        <w:jc w:val="center"/>
      </w:pPr>
      <w:r>
        <w:rPr>
          <w:rFonts w:ascii="宋体" w:hAnsi="宋体"/>
          <w:b/>
          <w:sz w:val="24"/>
        </w:rPr>
        <w:t>第一部分</w:t>
      </w:r>
    </w:p>
    <w:p w:rsidR="00FC5860" w:rsidRPr="00BE1BCD" w:rsidRDefault="009D25A1">
      <w:pPr>
        <w:spacing w:line="360" w:lineRule="auto"/>
        <w:jc w:val="left"/>
      </w:pPr>
      <w:r>
        <w:rPr>
          <w:rFonts w:ascii="宋体" w:hAnsi="宋体"/>
          <w:b/>
          <w:sz w:val="24"/>
        </w:rPr>
        <w:t>本部分共</w:t>
      </w:r>
      <w:r>
        <w:rPr>
          <w:rFonts w:eastAsia="Times New Roman" w:cs="Times New Roman"/>
          <w:b/>
          <w:sz w:val="24"/>
        </w:rPr>
        <w:t>15</w:t>
      </w:r>
      <w:r>
        <w:rPr>
          <w:rFonts w:ascii="宋体" w:hAnsi="宋体"/>
          <w:b/>
          <w:sz w:val="24"/>
        </w:rPr>
        <w:t>题，每题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分。在每题列出的四个选项中，选出最符合题目要求的一项。</w:t>
      </w:r>
    </w:p>
    <w:p w:rsidR="00FC5860" w:rsidRPr="00BE1BCD" w:rsidRDefault="009D25A1">
      <w:pPr>
        <w:spacing w:line="360" w:lineRule="auto"/>
        <w:jc w:val="left"/>
      </w:pPr>
      <w:r>
        <w:t xml:space="preserve">1. </w:t>
      </w:r>
      <w:r>
        <w:rPr>
          <w:rFonts w:eastAsia="Times New Roman" w:cs="Times New Roman"/>
        </w:rPr>
        <w:t>2025</w:t>
      </w:r>
      <w:r>
        <w:rPr>
          <w:rFonts w:ascii="宋体" w:hAnsi="宋体"/>
        </w:rPr>
        <w:t>年，国家持续推进</w:t>
      </w:r>
      <w:r>
        <w:rPr>
          <w:rFonts w:eastAsia="Times New Roman" w:cs="Times New Roman"/>
        </w:rPr>
        <w:t>“</w:t>
      </w:r>
      <w:r>
        <w:rPr>
          <w:rFonts w:ascii="宋体" w:hAnsi="宋体"/>
        </w:rPr>
        <w:t>体重管理年</w:t>
      </w:r>
      <w:r>
        <w:rPr>
          <w:rFonts w:eastAsia="Times New Roman" w:cs="Times New Roman"/>
        </w:rPr>
        <w:t>”</w:t>
      </w:r>
      <w:r>
        <w:rPr>
          <w:rFonts w:ascii="宋体" w:hAnsi="宋体"/>
        </w:rPr>
        <w:t>行动。为践行</w:t>
      </w:r>
      <w:r>
        <w:rPr>
          <w:rFonts w:eastAsia="Times New Roman" w:cs="Times New Roman"/>
        </w:rPr>
        <w:t>“</w:t>
      </w:r>
      <w:r>
        <w:rPr>
          <w:rFonts w:ascii="宋体" w:hAnsi="宋体"/>
        </w:rPr>
        <w:t>健康饮食、科学运动</w:t>
      </w:r>
      <w:r>
        <w:rPr>
          <w:rFonts w:eastAsia="Times New Roman" w:cs="Times New Roman"/>
        </w:rPr>
        <w:t>”</w:t>
      </w:r>
      <w:r>
        <w:rPr>
          <w:rFonts w:ascii="宋体" w:hAnsi="宋体"/>
        </w:rPr>
        <w:t>，应持有的正确认识是（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:rsidR="00075906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9D25A1">
        <w:rPr>
          <w:rFonts w:ascii="宋体" w:hAnsi="宋体"/>
        </w:rPr>
        <w:t>饮食中元素种类越多所含能量越高</w:t>
      </w:r>
    </w:p>
    <w:p w:rsidR="00075906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9D25A1">
        <w:rPr>
          <w:rFonts w:ascii="宋体" w:hAnsi="宋体"/>
        </w:rPr>
        <w:t>饮食中用糖代替脂肪即可控制体重</w:t>
      </w:r>
    </w:p>
    <w:p w:rsidR="00075906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9D25A1">
        <w:rPr>
          <w:rFonts w:ascii="宋体" w:hAnsi="宋体"/>
        </w:rPr>
        <w:t>无氧运动比有氧运动更有利于控制体重</w:t>
      </w:r>
    </w:p>
    <w:p w:rsidR="00075906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9D25A1">
        <w:rPr>
          <w:rFonts w:ascii="宋体" w:hAnsi="宋体"/>
        </w:rPr>
        <w:t>在生活中既要均衡饮食又要适量运动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下图是植物细胞局部亚显微结构示意图。在有氧呼吸过程中，细胞不同部位产生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的量不同。以下选项正确的是（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57475" cy="227647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43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705"/>
        <w:gridCol w:w="855"/>
        <w:gridCol w:w="990"/>
        <w:gridCol w:w="990"/>
        <w:gridCol w:w="855"/>
      </w:tblGrid>
      <w:tr w:rsidR="00075906"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部位</w:t>
            </w: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部位</w:t>
            </w: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部位</w:t>
            </w: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部位</w:t>
            </w:r>
            <w:r>
              <w:rPr>
                <w:rFonts w:eastAsia="Times New Roman" w:cs="Times New Roman"/>
                <w:color w:val="000000"/>
              </w:rPr>
              <w:t>4</w:t>
            </w:r>
          </w:p>
        </w:tc>
      </w:tr>
      <w:tr w:rsidR="00075906"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大量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少量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少量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无</w:t>
            </w:r>
          </w:p>
        </w:tc>
      </w:tr>
      <w:tr w:rsidR="00075906"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大量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大量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少量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无</w:t>
            </w:r>
          </w:p>
        </w:tc>
      </w:tr>
      <w:tr w:rsidR="00075906"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少量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大量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无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少量</w:t>
            </w:r>
          </w:p>
        </w:tc>
      </w:tr>
      <w:tr w:rsidR="00075906"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少量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无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大量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大量</w:t>
            </w:r>
          </w:p>
        </w:tc>
      </w:tr>
    </w:tbl>
    <w:p w:rsidR="00075906" w:rsidRDefault="00075906">
      <w:pPr>
        <w:spacing w:line="360" w:lineRule="auto"/>
        <w:jc w:val="left"/>
        <w:textAlignment w:val="center"/>
        <w:rPr>
          <w:color w:val="000000"/>
        </w:rPr>
      </w:pPr>
    </w:p>
    <w:p w:rsidR="00075906" w:rsidRDefault="009D25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某种加酶洗衣粉包装袋上注有下列信息：本品含有蛋白酶、脂肪酶和淀粉酶；洗涤前先浸泡</w:t>
      </w:r>
      <w:r>
        <w:rPr>
          <w:rFonts w:eastAsia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20min</w:t>
      </w:r>
      <w:r>
        <w:rPr>
          <w:rFonts w:ascii="宋体" w:hAnsi="宋体"/>
          <w:color w:val="000000"/>
        </w:rPr>
        <w:t>，特别脏的衣物可减少浸泡用水量；请勿使用</w:t>
      </w:r>
      <w:r>
        <w:rPr>
          <w:rFonts w:eastAsia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以上热水。下列叙述错误的是（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该洗衣粉含多种酶，不适合洗涤纯棉衣物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洗涤前浸泡有利于酶与污渍结合催化其分解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减少浸泡衣物的用水量可提高酶的浓度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水温过高导致酶活性下降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科学家对线虫进行诱变，发现</w:t>
      </w:r>
      <w:r>
        <w:rPr>
          <w:rFonts w:eastAsia="Times New Roman" w:cs="Times New Roman"/>
          <w:color w:val="000000"/>
        </w:rPr>
        <w:t>C3</w:t>
      </w:r>
      <w:r>
        <w:rPr>
          <w:rFonts w:ascii="宋体" w:hAnsi="宋体"/>
          <w:color w:val="000000"/>
        </w:rPr>
        <w:t>基因功能缺失突变体中本应凋亡的细胞存活，</w:t>
      </w:r>
      <w:r>
        <w:rPr>
          <w:rFonts w:eastAsia="Times New Roman" w:cs="Times New Roman"/>
          <w:color w:val="000000"/>
        </w:rPr>
        <w:t>C9</w:t>
      </w:r>
      <w:r>
        <w:rPr>
          <w:rFonts w:ascii="宋体" w:hAnsi="宋体"/>
          <w:color w:val="000000"/>
        </w:rPr>
        <w:t>基因功能缺失突变体中本不应凋亡的细胞发生凋亡。下列叙述错误的是（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C3</w:t>
      </w:r>
      <w:r>
        <w:rPr>
          <w:rFonts w:ascii="宋体" w:hAnsi="宋体"/>
          <w:color w:val="000000"/>
        </w:rPr>
        <w:t>基因促进细胞凋亡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C9</w:t>
      </w:r>
      <w:r>
        <w:rPr>
          <w:rFonts w:ascii="宋体" w:hAnsi="宋体"/>
          <w:color w:val="000000"/>
        </w:rPr>
        <w:t>基因抑制细胞凋亡</w:t>
      </w:r>
    </w:p>
    <w:p w:rsidR="00075906" w:rsidRDefault="009D25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细胞凋亡不利于线虫发育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细胞凋亡受基因的调控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eastAsia="Times New Roman" w:cs="Times New Roman"/>
          <w:color w:val="000000"/>
        </w:rPr>
        <w:t>1958</w:t>
      </w:r>
      <w:r>
        <w:rPr>
          <w:rFonts w:ascii="宋体" w:hAnsi="宋体"/>
          <w:color w:val="000000"/>
        </w:rPr>
        <w:t>年，</w:t>
      </w:r>
      <w:r>
        <w:rPr>
          <w:rFonts w:eastAsia="Times New Roman" w:cs="Times New Roman"/>
          <w:color w:val="000000"/>
        </w:rPr>
        <w:t>Meselson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Stahl</w:t>
      </w:r>
      <w:r>
        <w:rPr>
          <w:rFonts w:ascii="宋体" w:hAnsi="宋体"/>
          <w:color w:val="000000"/>
        </w:rPr>
        <w:t>通过</w:t>
      </w:r>
      <w:r>
        <w:rPr>
          <w:color w:val="000000"/>
          <w:vertAlign w:val="superscript"/>
        </w:rPr>
        <w:t>15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标记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实验，证明了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的半保留复制。关于这一经典实验的叙述正确的是（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因为</w:t>
      </w:r>
      <w:r>
        <w:rPr>
          <w:color w:val="000000"/>
          <w:vertAlign w:val="superscript"/>
        </w:rPr>
        <w:t>15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有放射性，所以能够区分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的母链和子链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得到的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带的位置有三个，证明了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的半保留复制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将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变成单链后再进行离心也能得到相同的实验结果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选择大肠杆菌作为实验材料是因为它有环状质粒</w:t>
      </w:r>
      <w:r>
        <w:rPr>
          <w:rFonts w:eastAsia="Times New Roman" w:cs="Times New Roman"/>
          <w:color w:val="000000"/>
        </w:rPr>
        <w:t>DNA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用于啤酒生产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酿酒酵母是真核生物，其生活史如图。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781550" cy="227647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子囊孢子都是单倍体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营养细胞均无同源染色体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芽殖过程中不发生染色体数目减半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酿酒酵母可进行有丝分裂，也可进行减数分裂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7. </w:t>
      </w:r>
      <w:r>
        <w:rPr>
          <w:rFonts w:ascii="宋体" w:hAnsi="宋体"/>
          <w:color w:val="000000"/>
        </w:rPr>
        <w:t>抗维生素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佝偻病是一种伴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染色体显性遗传病。正常女子与男患者所生子女患该病的概率是（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男孩</w:t>
      </w:r>
      <w:r>
        <w:rPr>
          <w:rFonts w:eastAsia="Times New Roman" w:cs="Times New Roman"/>
          <w:color w:val="000000"/>
        </w:rPr>
        <w:t>100%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女孩</w:t>
      </w:r>
      <w:r>
        <w:rPr>
          <w:rFonts w:eastAsia="Times New Roman" w:cs="Times New Roman"/>
          <w:color w:val="000000"/>
        </w:rPr>
        <w:t>100%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男孩</w:t>
      </w:r>
      <w:r>
        <w:rPr>
          <w:rFonts w:eastAsia="Times New Roman" w:cs="Times New Roman"/>
          <w:color w:val="000000"/>
        </w:rPr>
        <w:t>50%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女孩</w:t>
      </w:r>
      <w:r>
        <w:rPr>
          <w:rFonts w:eastAsia="Times New Roman" w:cs="Times New Roman"/>
          <w:color w:val="000000"/>
        </w:rPr>
        <w:t>50%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蝴蝶幼虫取食植物叶片，萝藦类植物进化出产生</w:t>
      </w:r>
      <w:r>
        <w:rPr>
          <w:rFonts w:eastAsia="Times New Roman" w:cs="Times New Roman"/>
          <w:color w:val="000000"/>
        </w:rPr>
        <w:t>CA</w:t>
      </w:r>
      <w:r>
        <w:rPr>
          <w:rFonts w:ascii="宋体" w:hAnsi="宋体"/>
          <w:color w:val="000000"/>
        </w:rPr>
        <w:t>的能力，</w:t>
      </w:r>
      <w:r>
        <w:rPr>
          <w:rFonts w:eastAsia="Times New Roman" w:cs="Times New Roman"/>
          <w:color w:val="000000"/>
        </w:rPr>
        <w:t>CA</w:t>
      </w:r>
      <w:r>
        <w:rPr>
          <w:rFonts w:ascii="宋体" w:hAnsi="宋体"/>
          <w:color w:val="000000"/>
        </w:rPr>
        <w:t>抑制动物细胞膜上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酶的活性，对动物产生毒性，从而阻止大部分蝴蝶幼虫取食。斑蝶类蝴蝶因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酶发生了一个氨基酸替换而对</w:t>
      </w:r>
      <w:r>
        <w:rPr>
          <w:rFonts w:eastAsia="Times New Roman" w:cs="Times New Roman"/>
          <w:color w:val="000000"/>
        </w:rPr>
        <w:t>CA</w:t>
      </w:r>
      <w:r>
        <w:rPr>
          <w:rFonts w:ascii="宋体" w:hAnsi="宋体"/>
          <w:color w:val="000000"/>
        </w:rPr>
        <w:t>不敏感，其幼虫可以取食萝藦。下列叙述错误的是（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斑蝶类蝴蝶对</w:t>
      </w:r>
      <w:r>
        <w:rPr>
          <w:rFonts w:eastAsia="Times New Roman" w:cs="Times New Roman"/>
          <w:color w:val="000000"/>
        </w:rPr>
        <w:t>CA</w:t>
      </w:r>
      <w:r>
        <w:rPr>
          <w:rFonts w:ascii="宋体" w:hAnsi="宋体"/>
          <w:color w:val="000000"/>
        </w:rPr>
        <w:t>的适应主要源自基因突变和选择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斑蝶类蝴蝶取食萝藦可减少与其他蝴蝶竞争食物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酶基因突变导致斑蝶类蝴蝶与其他蝴蝶发生生殖隔离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萝藦类植物和斑蝶类蝴蝶的进化是一个协同进化的实例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油菜素内酯可促进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蛋白进入细胞核调节基因表达，进而促进下胚轴生长。用生长素分别处理野生型和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基因功能缺失突变体的拟南芥幼苗，结果如图。综合以上信息，不能得出的是（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47900" cy="2057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蛋白是油菜素内酯信号途径的组成成分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生长素和油菜素内酯都能调控下胚轴生长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生长素促进下胚轴生长依赖于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蛋白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油菜素内酯促进下胚轴生长依赖于生长素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外科医生给足外伤患者缝合伤口时，先在伤口附近注射局部麻醉约，以减轻患者疼痛。局部麻醉药的作用原理是（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降低伤口处效应器的功能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降低脊髓中枢的反射能力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阻断相关传出神经纤维的传导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阻断相关传入神经纤维的传导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为了解甲基苯丙胺（</w:t>
      </w:r>
      <w:r>
        <w:rPr>
          <w:rFonts w:eastAsia="Times New Roman" w:cs="Times New Roman"/>
          <w:color w:val="000000"/>
        </w:rPr>
        <w:t>MA</w:t>
      </w:r>
      <w:r>
        <w:rPr>
          <w:rFonts w:ascii="宋体" w:hAnsi="宋体"/>
          <w:color w:val="000000"/>
        </w:rPr>
        <w:t>，俗称冰毒）对心脏功能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影响，研究者比较了吸食与不吸食</w:t>
      </w:r>
      <w:r>
        <w:rPr>
          <w:rFonts w:eastAsia="Times New Roman" w:cs="Times New Roman"/>
          <w:color w:val="000000"/>
        </w:rPr>
        <w:t>MA</w:t>
      </w:r>
      <w:r>
        <w:rPr>
          <w:rFonts w:ascii="宋体" w:hAnsi="宋体"/>
          <w:color w:val="000000"/>
        </w:rPr>
        <w:t>人群左心室的泵血能力，结果如图。下列叙述正确的是（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543050" cy="16478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滥用</w:t>
      </w:r>
      <w:r>
        <w:rPr>
          <w:rFonts w:eastAsia="Times New Roman" w:cs="Times New Roman"/>
          <w:color w:val="000000"/>
        </w:rPr>
        <w:t>MA</w:t>
      </w:r>
      <w:r>
        <w:rPr>
          <w:rFonts w:ascii="宋体" w:hAnsi="宋体"/>
          <w:color w:val="000000"/>
        </w:rPr>
        <w:t>会导致左心室收缩能力下降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左心室功能的显著下降导致吸食</w:t>
      </w:r>
      <w:r>
        <w:rPr>
          <w:rFonts w:eastAsia="Times New Roman" w:cs="Times New Roman"/>
          <w:color w:val="000000"/>
        </w:rPr>
        <w:t>MA</w:t>
      </w:r>
      <w:r>
        <w:rPr>
          <w:rFonts w:ascii="宋体" w:hAnsi="宋体"/>
          <w:color w:val="000000"/>
        </w:rPr>
        <w:t>成瘾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MA</w:t>
      </w:r>
      <w:r>
        <w:rPr>
          <w:rFonts w:ascii="宋体" w:hAnsi="宋体"/>
          <w:color w:val="000000"/>
        </w:rPr>
        <w:t>可以阻断神经对心脏活动的调节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MA</w:t>
      </w:r>
      <w:r>
        <w:rPr>
          <w:rFonts w:ascii="宋体" w:hAnsi="宋体"/>
          <w:color w:val="000000"/>
        </w:rPr>
        <w:t>通过破坏血管影响左心室泵血功能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塞罕坝曾森林茂密，后来由于人类活动破坏而逐渐变成荒原。上世纪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年代以来，林业工人不断努力，种植了华北落叶松等多种树木，如今已将森林覆盖率提高到</w:t>
      </w:r>
      <w:r>
        <w:rPr>
          <w:rFonts w:eastAsia="Times New Roman" w:cs="Times New Roman"/>
          <w:color w:val="000000"/>
        </w:rPr>
        <w:t>75%</w:t>
      </w:r>
      <w:r>
        <w:rPr>
          <w:rFonts w:ascii="宋体" w:hAnsi="宋体"/>
          <w:color w:val="000000"/>
        </w:rPr>
        <w:t>以上，成为人类改善自然环境的典范。下列叙述错误的是（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塞罕坝造林经验可推广到各类荒原的治理，以提高森林覆盖率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植树造林时要尽量种植多种树木，以利于提高</w:t>
      </w:r>
      <w:r>
        <w:rPr>
          <w:rFonts w:ascii="宋体" w:hAnsi="宋体"/>
          <w:color w:val="000000"/>
        </w:rPr>
        <w:t>生态系统稳定性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塞罕坝的变化说明，人类活动可以影响群落演替的进程和方向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与上世纪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年代相比，现在塞罕坝生态系统的固碳量大幅增加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近年来，北京建设了许多大型湿地公园，对于生态环境的改善产生了积极作用。以下关于湿地公园生态功能的叙述错误的是（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调蓄洪水，减缓水旱灾害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改变温带季风气候</w:t>
      </w:r>
    </w:p>
    <w:p w:rsidR="00075906" w:rsidRDefault="009D25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自然净化污水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为野生动物提供栖息地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动物细胞培养基一般呈淡红色。某次实验时，调控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耗尽，培养基转为黄色。由此推断使培养基呈淡红色的是（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必需氨基酸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抗生素</w:t>
      </w:r>
    </w:p>
    <w:p w:rsidR="00075906" w:rsidRDefault="009D25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酸碱指示剂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血清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探究植物细胞的吸水和失水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实验中，在清水和</w:t>
      </w:r>
      <w:r>
        <w:rPr>
          <w:rFonts w:eastAsia="Times New Roman" w:cs="Times New Roman"/>
          <w:color w:val="000000"/>
        </w:rPr>
        <w:t>0.3g/mL</w:t>
      </w:r>
      <w:r>
        <w:rPr>
          <w:rFonts w:ascii="宋体" w:hAnsi="宋体"/>
          <w:color w:val="000000"/>
        </w:rPr>
        <w:t>蔗糖溶液中处于稳定状态的细胞如图。以下叙述错误的是（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628900" cy="1333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，水分子通过渗透作用进出细胞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，细胞壁限制过多的水进入细胞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，细胞失去的水分子是自由水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与图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相比，图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中细胞液浓度小</w:t>
      </w:r>
    </w:p>
    <w:p w:rsidR="00075906" w:rsidRDefault="009D25A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第二部分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本部分共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题，共</w:t>
      </w:r>
      <w:r>
        <w:rPr>
          <w:rFonts w:eastAsia="Times New Roman" w:cs="Times New Roman"/>
          <w:b/>
          <w:color w:val="000000"/>
          <w:sz w:val="24"/>
        </w:rPr>
        <w:t>70</w:t>
      </w:r>
      <w:r>
        <w:rPr>
          <w:rFonts w:ascii="宋体" w:hAnsi="宋体"/>
          <w:b/>
          <w:color w:val="000000"/>
          <w:sz w:val="24"/>
        </w:rPr>
        <w:t>分。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某同学因颈前部疼痛，伴有发热、心慌、多汗而就医。医生发现其甲状腺有触痛，血液中甲状腺激素</w:t>
      </w:r>
      <w:r>
        <w:rPr>
          <w:rFonts w:eastAsia="Times New Roman" w:cs="Times New Roman"/>
          <w:color w:val="000000"/>
        </w:rPr>
        <w:t>T</w:t>
      </w:r>
      <w:r>
        <w:rPr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水平升高，诊断为亚急性甲状腺炎。该同学查阅有关资料，了解到甲状腺由许多滤泡构成，每个滤泡由一层滤泡上皮细胞围成（图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），</w:t>
      </w:r>
      <w:r>
        <w:rPr>
          <w:rFonts w:eastAsia="Times New Roman" w:cs="Times New Roman"/>
          <w:color w:val="000000"/>
        </w:rPr>
        <w:t>T</w:t>
      </w:r>
      <w:r>
        <w:rPr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在滤泡腔中合成并储存；发病之初，甲状腺滤泡上皮细胞受损；多数患者发病后，甲状腺摄碘率和血液中相关激素水平的变化如图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1740472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40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在人体各系统中，甲状腺属于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系统。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在滤泡上皮细胞内的碘浓度远高于组织液的情况下，细胞依然能摄取碘，这种吸收方式是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发病后的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个月内，血液中</w:t>
      </w:r>
      <w:r>
        <w:rPr>
          <w:rFonts w:eastAsia="Times New Roman" w:cs="Times New Roman"/>
          <w:color w:val="000000"/>
        </w:rPr>
        <w:t>T</w:t>
      </w:r>
      <w:r>
        <w:rPr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水平高于正常的原因是：甲状腺滤泡上皮细胞受损导致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发病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个月时，该同学复查结果显示：</w:t>
      </w:r>
      <w:r>
        <w:rPr>
          <w:rFonts w:eastAsia="Times New Roman" w:cs="Times New Roman"/>
          <w:color w:val="000000"/>
        </w:rPr>
        <w:t>T</w:t>
      </w:r>
      <w:r>
        <w:rPr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水平恢复正常，但摄碘率高于正常。家长担心摄碘率会居高不下。请根据</w:t>
      </w:r>
      <w:r>
        <w:rPr>
          <w:rFonts w:eastAsia="Times New Roman" w:cs="Times New Roman"/>
          <w:color w:val="000000"/>
        </w:rPr>
        <w:t>T</w:t>
      </w:r>
      <w:r>
        <w:rPr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分泌的调节过程向家长做出解释以打消其顾虑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发病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个月后，</w:t>
      </w:r>
      <w:r>
        <w:rPr>
          <w:rFonts w:eastAsia="Times New Roman" w:cs="Times New Roman"/>
          <w:color w:val="000000"/>
        </w:rPr>
        <w:t>T</w:t>
      </w:r>
      <w:r>
        <w:rPr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会在正常范围内上下波动，表明甲状腺功能恢复正常。由此推测，甲状腺中的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结构已恢复完整。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链霉菌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能产生一种抗生素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，可用于防治植物病害，但产量很低。为提高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的产量，科研人员用紫外线和亚硝酸对野生型链霉菌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的孢子悬液进行诱变处理，筛选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产量提高的突变体（</w:t>
      </w:r>
      <w:r>
        <w:rPr>
          <w:rFonts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株），以应用于农业生产。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紫外线和亚硝酸均通过改变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的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，诱发基因突变。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因基因突变频率低，孢子悬液中突变体占比很低；又因基因突变的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性，</w:t>
      </w:r>
      <w:r>
        <w:rPr>
          <w:rFonts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株在全部突变体中的占比低。要获得</w:t>
      </w:r>
      <w:r>
        <w:rPr>
          <w:rFonts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株，需进行筛选。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链霉菌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主要进行孢子繁殖。研究者对链霉菌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发酵液进行了粗提浓缩，得到粗提液，测定粗提液对野生型链霉菌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孢子萌发的影响，结果如图。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71775" cy="17049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由图可知，粗提液对野生型孢子萌发有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作用。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随后研究者进行筛选实验。诱变处理后，将适量孢子悬液涂布在含有不同浓度粗提液的筛选平板上，每个浓度的筛选</w:t>
      </w:r>
      <w:r>
        <w:rPr>
          <w:rFonts w:ascii="宋体" w:hAnsi="宋体"/>
          <w:color w:val="000000"/>
        </w:rPr>
        <w:t>平板设若干个重复，</w:t>
      </w:r>
      <w:r>
        <w:rPr>
          <w:rFonts w:eastAsia="Times New Roman" w:cs="Times New Roman"/>
          <w:color w:val="000000"/>
        </w:rPr>
        <w:t>28℃</w:t>
      </w:r>
      <w:r>
        <w:rPr>
          <w:rFonts w:ascii="宋体" w:hAnsi="宋体"/>
          <w:color w:val="000000"/>
        </w:rPr>
        <w:t>培养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天。从每个浓度的筛选平板上挑取</w:t>
      </w:r>
      <w:r>
        <w:rPr>
          <w:rFonts w:eastAsia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个单菌落，再次分别培养后逐一测定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产量，统计结果如下表。</w:t>
      </w:r>
    </w:p>
    <w:tbl>
      <w:tblPr>
        <w:tblW w:w="70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825"/>
        <w:gridCol w:w="420"/>
        <w:gridCol w:w="570"/>
        <w:gridCol w:w="570"/>
        <w:gridCol w:w="570"/>
        <w:gridCol w:w="570"/>
        <w:gridCol w:w="570"/>
      </w:tblGrid>
      <w:tr w:rsidR="00075906"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组别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I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II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III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IV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V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VI</w:t>
            </w:r>
          </w:p>
        </w:tc>
      </w:tr>
      <w:tr w:rsidR="00075906"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筛选平板中粗提液浓度（</w:t>
            </w:r>
            <w:r>
              <w:rPr>
                <w:rFonts w:eastAsia="Times New Roman" w:cs="Times New Roman"/>
                <w:color w:val="000000"/>
              </w:rPr>
              <w:t>mL/100mL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</w:t>
            </w:r>
          </w:p>
        </w:tc>
      </w:tr>
      <w:tr w:rsidR="00075906">
        <w:tc>
          <w:tcPr>
            <w:tcW w:w="3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所取菌落中</w:t>
            </w:r>
            <w:r>
              <w:rPr>
                <w:rFonts w:eastAsia="Times New Roman" w:cs="Times New Roman"/>
                <w:color w:val="000000"/>
              </w:rPr>
              <w:t>M</w:t>
            </w:r>
            <w:r>
              <w:rPr>
                <w:color w:val="000000"/>
                <w:vertAlign w:val="superscript"/>
              </w:rPr>
              <w:t>+</w:t>
            </w:r>
            <w:r>
              <w:rPr>
                <w:rFonts w:ascii="宋体" w:hAnsi="宋体"/>
                <w:color w:val="000000"/>
              </w:rPr>
              <w:t>株占比（</w:t>
            </w:r>
            <w:r>
              <w:rPr>
                <w:rFonts w:eastAsia="Times New Roman" w:cs="Times New Roman"/>
                <w:color w:val="000000"/>
              </w:rPr>
              <w:t>%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13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25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65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</w:tr>
    </w:tbl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用图中信息，解释表中</w:t>
      </w:r>
      <w:r>
        <w:rPr>
          <w:rFonts w:eastAsia="Times New Roman" w:cs="Times New Roman"/>
          <w:color w:val="000000"/>
        </w:rPr>
        <w:t>IV</w:t>
      </w:r>
      <w:r>
        <w:rPr>
          <w:rFonts w:ascii="宋体" w:hAnsi="宋体"/>
          <w:color w:val="000000"/>
        </w:rPr>
        <w:t>组</w:t>
      </w:r>
      <w:r>
        <w:rPr>
          <w:rFonts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株占比明显高于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组的原因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表中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组和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组中</w:t>
      </w:r>
      <w:r>
        <w:rPr>
          <w:rFonts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株占比接近，但在筛选平板上形成的菌落有差异。下列叙述正确的有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（多选）。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组中有野生型菌落，而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组中没有野生型菌落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组中有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产量未提高的突变体菌落，而</w:t>
      </w:r>
      <w:r>
        <w:rPr>
          <w:rFonts w:eastAsia="Times New Roman" w:cs="Times New Roman"/>
          <w:color w:val="000000"/>
        </w:rPr>
        <w:t>III</w:t>
      </w:r>
      <w:r>
        <w:rPr>
          <w:rFonts w:ascii="宋体" w:hAnsi="宋体"/>
          <w:color w:val="000000"/>
        </w:rPr>
        <w:t>组中没有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．与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组相比，诱变处理后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孢子悬液中更多的突变体在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组中被抑制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．与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组相比，诱变处理后的孢子悬液中更多的</w:t>
      </w:r>
      <w:r>
        <w:rPr>
          <w:rFonts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株在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组中被抑制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综上所述，用粗提液筛选是获得</w:t>
      </w:r>
      <w:r>
        <w:rPr>
          <w:rFonts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+</w:t>
      </w:r>
      <w:r>
        <w:rPr>
          <w:rFonts w:ascii="宋体" w:hAnsi="宋体"/>
          <w:color w:val="000000"/>
        </w:rPr>
        <w:t>株的有效方法。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植物的光合作用效率与叶绿体的发育（形态结构建成）密切相关。叶绿体发育受基因的精细调控，以适应环境。科学家对光响应基因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在此过程中的作用进行了研究。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实验中发现一株叶绿素含量升高的拟南芥突变体。经鉴定，其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基因功能缺失，命名为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是</w:t>
      </w:r>
      <w:r>
        <w:rPr>
          <w:rFonts w:ascii="宋体" w:hAnsi="宋体"/>
          <w:color w:val="000000"/>
        </w:rPr>
        <w:lastRenderedPageBreak/>
        <w:t>使用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观察到的叶绿体亚显微结构。与野生型相比，可见突变体基粒（</w:t>
      </w:r>
      <w:r>
        <w:rPr>
          <w:rFonts w:eastAsia="Times New Roman" w:cs="Times New Roman"/>
          <w:color w:val="000000"/>
        </w:rPr>
        <w:t>“[”</w:t>
      </w:r>
      <w:r>
        <w:rPr>
          <w:rFonts w:ascii="宋体" w:hAnsi="宋体"/>
          <w:color w:val="000000"/>
        </w:rPr>
        <w:t>所示）中的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增多。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743325" cy="16478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</w:t>
      </w:r>
      <w:r>
        <w:rPr>
          <w:rFonts w:eastAsia="Times New Roman" w:cs="Times New Roman"/>
          <w:color w:val="000000"/>
        </w:rPr>
        <w:t>GK</w:t>
      </w:r>
      <w:r>
        <w:rPr>
          <w:rFonts w:ascii="宋体" w:hAnsi="宋体"/>
          <w:color w:val="000000"/>
        </w:rPr>
        <w:t>蛋白促进叶绿体发育相关基因的转录，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蛋白可以与</w:t>
      </w:r>
      <w:r>
        <w:rPr>
          <w:rFonts w:eastAsia="Times New Roman" w:cs="Times New Roman"/>
          <w:color w:val="000000"/>
        </w:rPr>
        <w:t>GK</w:t>
      </w:r>
      <w:r>
        <w:rPr>
          <w:rFonts w:ascii="宋体" w:hAnsi="宋体"/>
          <w:color w:val="000000"/>
        </w:rPr>
        <w:t>蛋白结合。研究者构建了</w:t>
      </w:r>
      <w:r>
        <w:rPr>
          <w:rFonts w:eastAsia="Times New Roman" w:cs="Times New Roman"/>
          <w:color w:val="000000"/>
        </w:rPr>
        <w:t>GK</w:t>
      </w:r>
      <w:r>
        <w:rPr>
          <w:rFonts w:ascii="宋体" w:hAnsi="宋体"/>
          <w:color w:val="000000"/>
        </w:rPr>
        <w:t>功能缺失突变体</w:t>
      </w:r>
      <w:r>
        <w:rPr>
          <w:rFonts w:eastAsia="Times New Roman" w:cs="Times New Roman"/>
          <w:color w:val="000000"/>
        </w:rPr>
        <w:t>gk</w:t>
      </w:r>
      <w:r>
        <w:rPr>
          <w:rFonts w:ascii="宋体" w:hAnsi="宋体"/>
          <w:color w:val="000000"/>
        </w:rPr>
        <w:t>（叶绿素含量降低）及双突变体</w:t>
      </w:r>
      <w:r>
        <w:rPr>
          <w:rFonts w:eastAsia="Times New Roman" w:cs="Times New Roman"/>
          <w:color w:val="000000"/>
        </w:rPr>
        <w:t>bggk</w:t>
      </w:r>
      <w:r>
        <w:rPr>
          <w:rFonts w:ascii="宋体" w:hAnsi="宋体"/>
          <w:color w:val="000000"/>
        </w:rPr>
        <w:t>。对三种突变体进行观察，发现双突变体的表型与突变体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相同，由此推测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通过抑制</w:t>
      </w:r>
      <w:r>
        <w:rPr>
          <w:rFonts w:eastAsia="Times New Roman" w:cs="Times New Roman"/>
          <w:color w:val="000000"/>
        </w:rPr>
        <w:t>GK</w:t>
      </w:r>
      <w:r>
        <w:rPr>
          <w:rFonts w:ascii="宋体" w:hAnsi="宋体"/>
          <w:color w:val="000000"/>
        </w:rPr>
        <w:t>的功能影响叶绿体发育。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为进一步证明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GK</w:t>
      </w:r>
      <w:r>
        <w:rPr>
          <w:rFonts w:ascii="宋体" w:hAnsi="宋体"/>
          <w:color w:val="000000"/>
        </w:rPr>
        <w:t>的抑制作用并探索其作用机制，将一定浓度的</w:t>
      </w:r>
      <w:r>
        <w:rPr>
          <w:rFonts w:eastAsia="Times New Roman" w:cs="Times New Roman"/>
          <w:color w:val="000000"/>
        </w:rPr>
        <w:t>GK</w:t>
      </w:r>
      <w:r>
        <w:rPr>
          <w:rFonts w:ascii="宋体" w:hAnsi="宋体"/>
          <w:color w:val="000000"/>
        </w:rPr>
        <w:t>蛋白与系列浓度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蛋白混合后，再加入</w:t>
      </w:r>
      <w:r>
        <w:rPr>
          <w:rFonts w:eastAsia="Times New Roman" w:cs="Times New Roman"/>
          <w:color w:val="000000"/>
        </w:rPr>
        <w:t>GK</w:t>
      </w:r>
      <w:r>
        <w:rPr>
          <w:rFonts w:ascii="宋体" w:hAnsi="宋体"/>
          <w:color w:val="000000"/>
        </w:rPr>
        <w:t>蛋白靶基因</w:t>
      </w:r>
      <w:r>
        <w:rPr>
          <w:rFonts w:eastAsia="Times New Roman" w:cs="Times New Roman"/>
          <w:color w:val="000000"/>
        </w:rPr>
        <w:t>CAO</w:t>
      </w:r>
      <w:r>
        <w:rPr>
          <w:rFonts w:ascii="宋体" w:hAnsi="宋体"/>
          <w:color w:val="000000"/>
        </w:rPr>
        <w:t>的启动子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片段，反应一段时间后，经电泳检测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所在位置，结果如图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。分析实验结果可得出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抑制</w:t>
      </w:r>
      <w:r>
        <w:rPr>
          <w:rFonts w:eastAsia="Times New Roman" w:cs="Times New Roman"/>
          <w:color w:val="000000"/>
        </w:rPr>
        <w:t>GK</w:t>
      </w:r>
      <w:r>
        <w:rPr>
          <w:rFonts w:ascii="宋体" w:hAnsi="宋体"/>
          <w:color w:val="000000"/>
        </w:rPr>
        <w:t>功能的机制是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676650" cy="18288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基于突变体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的表型，从进化与适应的角度推测光响应基因</w:t>
      </w:r>
      <w:r>
        <w:rPr>
          <w:rFonts w:eastAsia="Times New Roman" w:cs="Times New Roman"/>
          <w:color w:val="000000"/>
        </w:rPr>
        <w:t>BG</w:t>
      </w:r>
      <w:r>
        <w:rPr>
          <w:rFonts w:ascii="宋体" w:hAnsi="宋体"/>
          <w:color w:val="000000"/>
        </w:rPr>
        <w:t>存在的意义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食物过敏在人群中常见、多发，会反复发生，且可能逐渐加重。卵清蛋白（</w:t>
      </w:r>
      <w:r>
        <w:rPr>
          <w:rFonts w:eastAsia="Times New Roman" w:cs="Times New Roman"/>
          <w:color w:val="000000"/>
        </w:rPr>
        <w:t>OVA</w:t>
      </w:r>
      <w:r>
        <w:rPr>
          <w:rFonts w:ascii="宋体" w:hAnsi="宋体"/>
          <w:color w:val="000000"/>
        </w:rPr>
        <w:t>）作为过敏原可激发机体产生特异性抗体（</w:t>
      </w:r>
      <w:r>
        <w:rPr>
          <w:rFonts w:eastAsia="Times New Roman" w:cs="Times New Roman"/>
          <w:color w:val="000000"/>
        </w:rPr>
        <w:t>OVA-Ab</w:t>
      </w:r>
      <w:r>
        <w:rPr>
          <w:rFonts w:ascii="宋体" w:hAnsi="宋体"/>
          <w:color w:val="000000"/>
        </w:rPr>
        <w:t>），引发过敏反应。研究者将野生型小鼠（供体）的脾细胞转移给缺失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淋巴细胞的免疫缺陷小鼠（受体），通过系列实验，探究</w:t>
      </w:r>
      <w:r>
        <w:rPr>
          <w:rFonts w:eastAsia="Times New Roman" w:cs="Times New Roman"/>
          <w:color w:val="000000"/>
        </w:rPr>
        <w:t>OVA</w:t>
      </w:r>
      <w:r>
        <w:rPr>
          <w:rFonts w:ascii="宋体" w:hAnsi="宋体"/>
          <w:color w:val="000000"/>
        </w:rPr>
        <w:t>引起过敏反应的机制。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809875" cy="26574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脾脏是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细胞集中分布和特异性免疫发生的场所。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用混有免疫增强剂的</w:t>
      </w:r>
      <w:r>
        <w:rPr>
          <w:rFonts w:eastAsia="Times New Roman" w:cs="Times New Roman"/>
          <w:color w:val="000000"/>
        </w:rPr>
        <w:t>OVA</w:t>
      </w:r>
      <w:r>
        <w:rPr>
          <w:rFonts w:ascii="宋体" w:hAnsi="宋体"/>
          <w:color w:val="000000"/>
        </w:rPr>
        <w:t>给供体鼠灌胃，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细胞受刺激后活化、分裂并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个月后，通过静脉注射将供体鼠的脾细胞转移给受体鼠，然后仅用</w:t>
      </w:r>
      <w:r>
        <w:rPr>
          <w:rFonts w:eastAsia="Times New Roman" w:cs="Times New Roman"/>
          <w:color w:val="000000"/>
        </w:rPr>
        <w:t>OVA</w:t>
      </w:r>
      <w:r>
        <w:rPr>
          <w:rFonts w:ascii="宋体" w:hAnsi="宋体"/>
          <w:color w:val="000000"/>
        </w:rPr>
        <w:t>对受体鼠进行灌胃，数天后，检测受体鼠血清中的</w:t>
      </w:r>
      <w:r>
        <w:rPr>
          <w:rFonts w:eastAsia="Times New Roman" w:cs="Times New Roman"/>
          <w:color w:val="000000"/>
        </w:rPr>
        <w:t>OVA-Ab</w:t>
      </w:r>
      <w:r>
        <w:rPr>
          <w:rFonts w:ascii="宋体" w:hAnsi="宋体"/>
          <w:color w:val="000000"/>
        </w:rPr>
        <w:t>水平（图中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组）。</w:t>
      </w:r>
      <w:r>
        <w:rPr>
          <w:rFonts w:eastAsia="Times New Roman" w:cs="Times New Roman"/>
          <w:color w:val="000000"/>
        </w:rPr>
        <w:t>IV</w:t>
      </w:r>
      <w:r>
        <w:rPr>
          <w:rFonts w:ascii="宋体" w:hAnsi="宋体"/>
          <w:color w:val="000000"/>
        </w:rPr>
        <w:t>组供体鼠不经灌胃处理，其他处理同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组。比较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Ⅳ</w:t>
      </w:r>
      <w:r>
        <w:rPr>
          <w:rFonts w:ascii="宋体" w:hAnsi="宋体"/>
          <w:color w:val="000000"/>
        </w:rPr>
        <w:t>组结果可知，只用</w:t>
      </w:r>
      <w:r>
        <w:rPr>
          <w:rFonts w:eastAsia="Times New Roman" w:cs="Times New Roman"/>
          <w:color w:val="000000"/>
        </w:rPr>
        <w:t>OVA</w:t>
      </w:r>
      <w:r>
        <w:rPr>
          <w:rFonts w:ascii="宋体" w:hAnsi="宋体"/>
          <w:color w:val="000000"/>
        </w:rPr>
        <w:t>不能引起初次免疫，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组受体鼠产生的</w:t>
      </w:r>
      <w:r>
        <w:rPr>
          <w:rFonts w:eastAsia="Times New Roman" w:cs="Times New Roman"/>
          <w:color w:val="000000"/>
        </w:rPr>
        <w:t>OVA-Ab</w:t>
      </w:r>
      <w:r>
        <w:rPr>
          <w:rFonts w:ascii="宋体" w:hAnsi="宋体"/>
          <w:color w:val="000000"/>
        </w:rPr>
        <w:t>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免疫的结果。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如图所示，脾细胞转移后，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组受体鼠未进</w:t>
      </w:r>
      <w:r>
        <w:rPr>
          <w:rFonts w:ascii="宋体" w:hAnsi="宋体"/>
          <w:color w:val="000000"/>
        </w:rPr>
        <w:t>行</w:t>
      </w:r>
      <w:r>
        <w:rPr>
          <w:rFonts w:eastAsia="Times New Roman" w:cs="Times New Roman"/>
          <w:color w:val="000000"/>
        </w:rPr>
        <w:t>OVA</w:t>
      </w:r>
      <w:r>
        <w:rPr>
          <w:rFonts w:ascii="宋体" w:hAnsi="宋体"/>
          <w:color w:val="000000"/>
        </w:rPr>
        <w:t>灌胃，</w:t>
      </w:r>
      <w:r>
        <w:rPr>
          <w:rFonts w:eastAsia="Times New Roman" w:cs="Times New Roman"/>
          <w:color w:val="000000"/>
        </w:rPr>
        <w:t>III</w:t>
      </w:r>
      <w:r>
        <w:rPr>
          <w:rFonts w:ascii="宋体" w:hAnsi="宋体"/>
          <w:color w:val="000000"/>
        </w:rPr>
        <w:t>组供体鼠在脾细胞转移前已清除了辅助性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细胞，其他处理同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组。在脾细胞转移前，各组供体鼠均检测不到</w:t>
      </w:r>
      <w:r>
        <w:rPr>
          <w:rFonts w:eastAsia="Times New Roman" w:cs="Times New Roman"/>
          <w:color w:val="000000"/>
        </w:rPr>
        <w:t>OVA</w:t>
      </w:r>
      <w:r>
        <w:rPr>
          <w:rFonts w:ascii="宋体" w:hAnsi="宋体"/>
          <w:color w:val="000000"/>
        </w:rPr>
        <w:t>特异的浆细胞和</w:t>
      </w:r>
      <w:r>
        <w:rPr>
          <w:rFonts w:eastAsia="Times New Roman" w:cs="Times New Roman"/>
          <w:color w:val="000000"/>
        </w:rPr>
        <w:t>OVA-Ab</w:t>
      </w:r>
      <w:r>
        <w:rPr>
          <w:rFonts w:ascii="宋体" w:hAnsi="宋体"/>
          <w:color w:val="000000"/>
        </w:rPr>
        <w:t>。分析各组结果，在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组受体鼠快速产生大量</w:t>
      </w:r>
      <w:r>
        <w:rPr>
          <w:rFonts w:eastAsia="Times New Roman" w:cs="Times New Roman"/>
          <w:color w:val="000000"/>
        </w:rPr>
        <w:t>OVA-Ab</w:t>
      </w:r>
      <w:r>
        <w:rPr>
          <w:rFonts w:ascii="宋体" w:hAnsi="宋体"/>
          <w:color w:val="000000"/>
        </w:rPr>
        <w:t>的过程中，三种免疫细胞的关系是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某些个体发生食物过敏后，即使很多年没有接触过敏原，再次接触时仍会很快发生过敏。结合文中信息可知，导致长时间后过敏反应复发的关键细胞及其特点是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eastAsia="Times New Roman" w:cs="Times New Roman"/>
          <w:color w:val="000000"/>
        </w:rPr>
        <w:t>Usher</w:t>
      </w:r>
      <w:r>
        <w:rPr>
          <w:rFonts w:ascii="宋体" w:hAnsi="宋体"/>
          <w:color w:val="000000"/>
        </w:rPr>
        <w:t>综合征（</w:t>
      </w:r>
      <w:r>
        <w:rPr>
          <w:rFonts w:eastAsia="Times New Roman" w:cs="Times New Roman"/>
          <w:color w:val="000000"/>
        </w:rPr>
        <w:t>USH</w:t>
      </w:r>
      <w:r>
        <w:rPr>
          <w:rFonts w:ascii="宋体" w:hAnsi="宋体"/>
          <w:color w:val="000000"/>
        </w:rPr>
        <w:t>）是一种听力和视力受损的常染色体隐性遗传病，分为</w:t>
      </w:r>
      <w:r>
        <w:rPr>
          <w:rFonts w:eastAsia="Times New Roman" w:cs="Times New Roman"/>
          <w:color w:val="000000"/>
        </w:rPr>
        <w:t>α</w:t>
      </w:r>
      <w:r>
        <w:rPr>
          <w:rFonts w:ascii="宋体" w:hAnsi="宋体"/>
          <w:color w:val="000000"/>
        </w:rPr>
        <w:t>型、</w:t>
      </w:r>
      <w:r>
        <w:rPr>
          <w:rFonts w:eastAsia="Times New Roman" w:cs="Times New Roman"/>
          <w:color w:val="000000"/>
        </w:rPr>
        <w:t>β</w:t>
      </w:r>
      <w:r>
        <w:rPr>
          <w:rFonts w:ascii="宋体" w:hAnsi="宋体"/>
          <w:color w:val="000000"/>
        </w:rPr>
        <w:t>型和</w:t>
      </w:r>
      <w:r>
        <w:rPr>
          <w:rFonts w:eastAsia="Times New Roman" w:cs="Times New Roman"/>
          <w:color w:val="000000"/>
        </w:rPr>
        <w:t>γ</w:t>
      </w:r>
      <w:r>
        <w:rPr>
          <w:rFonts w:ascii="宋体" w:hAnsi="宋体"/>
          <w:color w:val="000000"/>
        </w:rPr>
        <w:t>型。已经发现至少有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个不同基因的突变都可分别导致</w:t>
      </w:r>
      <w:r>
        <w:rPr>
          <w:rFonts w:eastAsia="Times New Roman" w:cs="Times New Roman"/>
          <w:color w:val="000000"/>
        </w:rPr>
        <w:t>USH</w:t>
      </w:r>
      <w:r>
        <w:rPr>
          <w:rFonts w:ascii="宋体" w:hAnsi="宋体"/>
          <w:color w:val="000000"/>
        </w:rPr>
        <w:t>。在小鼠中也存在相同情况。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两个由单基因突变引起的</w:t>
      </w:r>
      <w:r>
        <w:rPr>
          <w:rFonts w:eastAsia="Times New Roman" w:cs="Times New Roman"/>
          <w:color w:val="000000"/>
        </w:rPr>
        <w:t>α</w:t>
      </w:r>
      <w:r>
        <w:rPr>
          <w:rFonts w:ascii="宋体" w:hAnsi="宋体"/>
          <w:color w:val="000000"/>
        </w:rPr>
        <w:t>型</w:t>
      </w:r>
      <w:r>
        <w:rPr>
          <w:rFonts w:eastAsia="Times New Roman" w:cs="Times New Roman"/>
          <w:color w:val="000000"/>
        </w:rPr>
        <w:t>USH</w:t>
      </w:r>
      <w:r>
        <w:rPr>
          <w:rFonts w:ascii="宋体" w:hAnsi="宋体"/>
          <w:color w:val="000000"/>
        </w:rPr>
        <w:t>的家系如图。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781425" cy="12477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家系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II-2</w:t>
      </w:r>
      <w:r>
        <w:rPr>
          <w:rFonts w:ascii="宋体" w:hAnsi="宋体"/>
          <w:color w:val="000000"/>
        </w:rPr>
        <w:t>是携带者的概率为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家系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II-1</w:t>
      </w:r>
      <w:r>
        <w:rPr>
          <w:rFonts w:ascii="宋体" w:hAnsi="宋体"/>
          <w:color w:val="000000"/>
        </w:rPr>
        <w:t>与家系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II-2</w:t>
      </w:r>
      <w:r>
        <w:rPr>
          <w:rFonts w:ascii="宋体" w:hAnsi="宋体"/>
          <w:color w:val="000000"/>
        </w:rPr>
        <w:t>之间婚配，所生子女均正常，原因是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基因间的相互作用会使表型复杂化。例如，小鼠在单基因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突变的情况下，</w:t>
      </w:r>
      <w:r>
        <w:rPr>
          <w:rFonts w:eastAsia="Times New Roman" w:cs="Times New Roman"/>
          <w:color w:val="000000"/>
        </w:rPr>
        <w:t>gg</w:t>
      </w:r>
      <w:r>
        <w:rPr>
          <w:rFonts w:ascii="宋体" w:hAnsi="宋体"/>
          <w:color w:val="000000"/>
        </w:rPr>
        <w:t>表现为</w:t>
      </w:r>
      <w:r>
        <w:rPr>
          <w:rFonts w:eastAsia="Times New Roman" w:cs="Times New Roman"/>
          <w:color w:val="000000"/>
        </w:rPr>
        <w:t>α</w:t>
      </w:r>
      <w:r>
        <w:rPr>
          <w:rFonts w:ascii="宋体" w:hAnsi="宋体"/>
          <w:color w:val="000000"/>
        </w:rPr>
        <w:t>型，</w:t>
      </w:r>
      <w:r>
        <w:rPr>
          <w:rFonts w:eastAsia="Times New Roman" w:cs="Times New Roman"/>
          <w:color w:val="000000"/>
        </w:rPr>
        <w:t>rr</w:t>
      </w:r>
      <w:r>
        <w:rPr>
          <w:rFonts w:ascii="宋体" w:hAnsi="宋体"/>
          <w:color w:val="000000"/>
        </w:rPr>
        <w:t>表现为</w:t>
      </w:r>
      <w:r>
        <w:rPr>
          <w:rFonts w:eastAsia="Times New Roman" w:cs="Times New Roman"/>
          <w:color w:val="000000"/>
        </w:rPr>
        <w:t>γ</w:t>
      </w:r>
      <w:r>
        <w:rPr>
          <w:rFonts w:ascii="宋体" w:hAnsi="宋体"/>
          <w:color w:val="000000"/>
        </w:rPr>
        <w:t>型，而双突变体小鼠</w:t>
      </w:r>
      <w:r>
        <w:rPr>
          <w:rFonts w:eastAsia="Times New Roman" w:cs="Times New Roman"/>
          <w:color w:val="000000"/>
        </w:rPr>
        <w:t>ggrr</w:t>
      </w:r>
      <w:r>
        <w:rPr>
          <w:rFonts w:ascii="宋体" w:hAnsi="宋体"/>
          <w:color w:val="000000"/>
        </w:rPr>
        <w:t>表现为</w:t>
      </w:r>
      <w:r>
        <w:rPr>
          <w:rFonts w:eastAsia="Times New Roman" w:cs="Times New Roman"/>
          <w:color w:val="000000"/>
        </w:rPr>
        <w:t>α</w:t>
      </w:r>
      <w:r>
        <w:rPr>
          <w:rFonts w:ascii="宋体" w:hAnsi="宋体"/>
          <w:color w:val="000000"/>
        </w:rPr>
        <w:t>型。表型正常的</w:t>
      </w:r>
      <w:r>
        <w:rPr>
          <w:rFonts w:eastAsia="Times New Roman" w:cs="Times New Roman"/>
          <w:color w:val="000000"/>
        </w:rPr>
        <w:t>GgRr</w:t>
      </w:r>
      <w:r>
        <w:rPr>
          <w:rFonts w:ascii="宋体" w:hAnsi="宋体"/>
          <w:color w:val="000000"/>
        </w:rPr>
        <w:t>小鼠间杂交，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表型及占比为：正常</w:t>
      </w:r>
      <w:r>
        <w:rPr>
          <w:rFonts w:eastAsia="Times New Roman" w:cs="Times New Roman"/>
          <w:color w:val="000000"/>
        </w:rPr>
        <w:t>9/16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lastRenderedPageBreak/>
        <w:t>α</w:t>
      </w:r>
      <w:r>
        <w:rPr>
          <w:rFonts w:ascii="宋体" w:hAnsi="宋体"/>
          <w:color w:val="000000"/>
        </w:rPr>
        <w:t>型</w:t>
      </w:r>
      <w:r>
        <w:rPr>
          <w:rFonts w:eastAsia="Times New Roman" w:cs="Times New Roman"/>
          <w:color w:val="000000"/>
        </w:rPr>
        <w:t>3/8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γ</w:t>
      </w:r>
      <w:r>
        <w:rPr>
          <w:rFonts w:ascii="宋体" w:hAnsi="宋体"/>
          <w:color w:val="000000"/>
        </w:rPr>
        <w:t>型</w:t>
      </w:r>
      <w:r>
        <w:rPr>
          <w:rFonts w:eastAsia="Times New Roman" w:cs="Times New Roman"/>
          <w:color w:val="000000"/>
        </w:rPr>
        <w:t>1/16</w:t>
      </w:r>
      <w:r>
        <w:rPr>
          <w:rFonts w:ascii="宋体" w:hAnsi="宋体"/>
          <w:color w:val="000000"/>
        </w:rPr>
        <w:t>。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α</w:t>
      </w:r>
      <w:r>
        <w:rPr>
          <w:rFonts w:ascii="宋体" w:hAnsi="宋体"/>
          <w:color w:val="000000"/>
        </w:rPr>
        <w:t>型个体中杂合子的基因型有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基因编码的</w:t>
      </w:r>
      <w:r>
        <w:rPr>
          <w:rFonts w:eastAsia="Times New Roman" w:cs="Times New Roman"/>
          <w:color w:val="000000"/>
        </w:rPr>
        <w:t>R</w:t>
      </w:r>
      <w:r>
        <w:rPr>
          <w:color w:val="000000"/>
          <w:vertAlign w:val="superscript"/>
        </w:rPr>
        <w:t>N</w:t>
      </w:r>
      <w:r>
        <w:rPr>
          <w:rFonts w:ascii="宋体" w:hAnsi="宋体"/>
          <w:color w:val="000000"/>
        </w:rPr>
        <w:t>蛋白比野生型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蛋白易于降解，导致</w:t>
      </w:r>
      <w:r>
        <w:rPr>
          <w:rFonts w:eastAsia="Times New Roman" w:cs="Times New Roman"/>
          <w:color w:val="000000"/>
        </w:rPr>
        <w:t>USH</w:t>
      </w:r>
      <w:r>
        <w:rPr>
          <w:rFonts w:ascii="宋体" w:hAnsi="宋体"/>
          <w:color w:val="000000"/>
        </w:rPr>
        <w:t>。因此，抑制</w:t>
      </w:r>
      <w:r>
        <w:rPr>
          <w:rFonts w:eastAsia="Times New Roman" w:cs="Times New Roman"/>
          <w:color w:val="000000"/>
        </w:rPr>
        <w:t>R</w:t>
      </w:r>
      <w:r>
        <w:rPr>
          <w:color w:val="000000"/>
          <w:vertAlign w:val="superscript"/>
        </w:rPr>
        <w:t>N</w:t>
      </w:r>
      <w:r>
        <w:rPr>
          <w:rFonts w:ascii="宋体" w:hAnsi="宋体"/>
          <w:color w:val="000000"/>
        </w:rPr>
        <w:t>降解是治疗</w:t>
      </w:r>
      <w:r>
        <w:rPr>
          <w:rFonts w:eastAsia="Times New Roman" w:cs="Times New Roman"/>
          <w:color w:val="000000"/>
        </w:rPr>
        <w:t>USH</w:t>
      </w:r>
      <w:r>
        <w:rPr>
          <w:rFonts w:ascii="宋体" w:hAnsi="宋体"/>
          <w:color w:val="000000"/>
        </w:rPr>
        <w:t>的一种思路。已知</w:t>
      </w:r>
      <w:r>
        <w:rPr>
          <w:rFonts w:eastAsia="Times New Roman" w:cs="Times New Roman"/>
          <w:color w:val="000000"/>
        </w:rPr>
        <w:t>R</w:t>
      </w:r>
      <w:r>
        <w:rPr>
          <w:color w:val="000000"/>
          <w:vertAlign w:val="superscript"/>
        </w:rPr>
        <w:t>N</w:t>
      </w:r>
      <w:r>
        <w:rPr>
          <w:rFonts w:ascii="宋体" w:hAnsi="宋体"/>
          <w:color w:val="000000"/>
        </w:rPr>
        <w:t>通过蛋白酶体降解，但抑制蛋白酶体的功能会导致细胞凋亡，因而用于治疗的药物需在增强</w:t>
      </w:r>
      <w:r>
        <w:rPr>
          <w:rFonts w:eastAsia="Times New Roman" w:cs="Times New Roman"/>
          <w:color w:val="000000"/>
        </w:rPr>
        <w:t>R</w:t>
      </w:r>
      <w:r>
        <w:rPr>
          <w:color w:val="000000"/>
          <w:vertAlign w:val="superscript"/>
        </w:rPr>
        <w:t>N</w:t>
      </w:r>
      <w:r>
        <w:rPr>
          <w:rFonts w:ascii="宋体" w:hAnsi="宋体"/>
          <w:color w:val="000000"/>
        </w:rPr>
        <w:t>稳定性的同时，不抑制蛋白酶体功能。红色荧光蛋白与某蛋白的融合蛋白以及绿色荧光蛋白与</w:t>
      </w:r>
      <w:r>
        <w:rPr>
          <w:rFonts w:eastAsia="Times New Roman" w:cs="Times New Roman"/>
          <w:color w:val="000000"/>
        </w:rPr>
        <w:t>R</w:t>
      </w:r>
      <w:r>
        <w:rPr>
          <w:color w:val="000000"/>
          <w:vertAlign w:val="superscript"/>
        </w:rPr>
        <w:t>N</w:t>
      </w:r>
      <w:r>
        <w:rPr>
          <w:rFonts w:ascii="宋体" w:hAnsi="宋体"/>
          <w:color w:val="000000"/>
        </w:rPr>
        <w:t>的融合蛋白都通过蛋白酶体降解，研究者制备了同时表达这两种融合蛋白的细胞，在不加入和加入某种药物时均分别测定两种荧光强度。如果该药物符合要求，则加药后的检测结果是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将野</w:t>
      </w:r>
      <w:r>
        <w:rPr>
          <w:rFonts w:ascii="宋体" w:hAnsi="宋体"/>
          <w:color w:val="000000"/>
        </w:rPr>
        <w:t>生型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基因连接到病毒载体上，再导入患者内耳或视网膜细胞，是治疗</w:t>
      </w:r>
      <w:r>
        <w:rPr>
          <w:rFonts w:eastAsia="Times New Roman" w:cs="Times New Roman"/>
          <w:color w:val="000000"/>
        </w:rPr>
        <w:t>USH</w:t>
      </w:r>
      <w:r>
        <w:rPr>
          <w:rFonts w:ascii="宋体" w:hAnsi="宋体"/>
          <w:color w:val="000000"/>
        </w:rPr>
        <w:t>的另一种思路。为避免对患者的潜在伤害，保证治疗的安全性，用作载体的病毒必须满足一些条件。请写出其中两个条件并分别加以解释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学习以下材料，回答（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~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）题。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野生动物个体识别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新方法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识别野生动物个体有助于野外生态学的研究。近年，人们发现可以从动物粪便中提取该动物的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扩增特定的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片段，测定产物的长度或序列，据此可识别个体，在此基础上可以获得野生动物的多种生态学信息。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微卫星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是一种常用于个体识别的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片段，广泛分布于核基因组中。每个微卫星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是一段串联重复序列，每个重复单位长度为</w:t>
      </w:r>
      <w:r>
        <w:rPr>
          <w:rFonts w:eastAsia="Times New Roman" w:cs="Times New Roman"/>
          <w:color w:val="000000"/>
        </w:rPr>
        <w:t>2~6bp</w:t>
      </w:r>
      <w:r>
        <w:rPr>
          <w:rFonts w:ascii="宋体" w:hAnsi="宋体"/>
          <w:color w:val="000000"/>
        </w:rPr>
        <w:t>（碱基对），重复数可以达到几十个（图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）．基因组中有很多个微卫星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，分布在不同位置。每个位置的微卫星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可视为一个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，由于重复单位的数目不同，同一位置的微卫星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可以有多个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等位基因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，能组成多种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基因型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．分析多个微卫星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，可得到个体特异的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基因型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组合，由此区分开不同的个体。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依据微卫星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两侧的旁邻序列（图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），设计并合成特异性引物，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扩增后，检测扩增片</w:t>
      </w:r>
      <w:r>
        <w:rPr>
          <w:rFonts w:ascii="宋体" w:hAnsi="宋体"/>
          <w:color w:val="000000"/>
        </w:rPr>
        <w:t>段长度，即可得知所测个体的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等位基因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（以片段长度命名），进而获得该个体的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基因型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。例如，图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是对某种哺乳动物个体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的一个微卫星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进行扩增后电泳分析的结果示意图，个体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基因型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177/183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1538148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38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有一个远离大陆的孤岛，陆生哺乳动物几乎无法到达，人类活动将食肉动物貉带到该岛上。科学家在岛上采集貉的新鲜粪便，提取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，扩增并分析了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个微卫星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，结果在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份样品中成功鉴定出个体（如表）。几个月后再次采集貉的新鲜粪便，进行同样的分析，在</w:t>
      </w:r>
      <w:r>
        <w:rPr>
          <w:rFonts w:eastAsia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份样品中成功鉴定出个体（如表）。据此，</w:t>
      </w:r>
      <w:r>
        <w:rPr>
          <w:rFonts w:ascii="宋体" w:hAnsi="宋体"/>
          <w:color w:val="000000"/>
        </w:rPr>
        <w:lastRenderedPageBreak/>
        <w:t>科学家估算出该岛上貉的种群数量。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两次采样所鉴定出的貉的个体编号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</w:tblGrid>
      <w:tr w:rsidR="00075906">
        <w:trPr>
          <w:trHeight w:val="241"/>
        </w:trPr>
        <w:tc>
          <w:tcPr>
            <w:tcW w:w="8325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第一次采集的</w:t>
            </w:r>
            <w:r>
              <w:rPr>
                <w:rFonts w:eastAsia="Times New Roman" w:cs="Times New Roman"/>
                <w:color w:val="000000"/>
              </w:rPr>
              <w:t>30</w:t>
            </w:r>
            <w:r>
              <w:rPr>
                <w:rFonts w:ascii="宋体" w:hAnsi="宋体"/>
                <w:color w:val="000000"/>
              </w:rPr>
              <w:t>份粪便样品所对应的个体编号</w:t>
            </w:r>
          </w:p>
        </w:tc>
      </w:tr>
      <w:tr w:rsidR="00075906"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N01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N02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N03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N06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N07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N08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N08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N09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N11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N12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N12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N13</w:t>
            </w:r>
          </w:p>
        </w:tc>
      </w:tr>
      <w:tr w:rsidR="00075906"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N14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N14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N15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N16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N17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N18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N18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N19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N21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N22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N22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N23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N24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N24</w:t>
            </w:r>
          </w:p>
        </w:tc>
      </w:tr>
      <w:tr w:rsidR="00075906">
        <w:trPr>
          <w:trHeight w:val="241"/>
        </w:trPr>
        <w:tc>
          <w:tcPr>
            <w:tcW w:w="8325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第二次采集的</w:t>
            </w:r>
            <w:r>
              <w:rPr>
                <w:rFonts w:eastAsia="Times New Roman" w:cs="Times New Roman"/>
                <w:color w:val="000000"/>
              </w:rPr>
              <w:t>40</w:t>
            </w:r>
            <w:r>
              <w:rPr>
                <w:rFonts w:ascii="宋体" w:hAnsi="宋体"/>
                <w:color w:val="000000"/>
              </w:rPr>
              <w:t>份粪便样品所对应的个体编号</w:t>
            </w:r>
          </w:p>
        </w:tc>
      </w:tr>
      <w:tr w:rsidR="00075906"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N03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N04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N05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N08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N09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N09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N12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N14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N18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N23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N26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N26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N26</w:t>
            </w:r>
          </w:p>
        </w:tc>
      </w:tr>
      <w:tr w:rsidR="00075906"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N27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N28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N29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N31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N32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N32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N33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N33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N33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N35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N36</w:t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N37</w:t>
            </w:r>
          </w:p>
        </w:tc>
      </w:tr>
      <w:tr w:rsidR="00075906"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N38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N39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N40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N41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N42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N43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N44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N44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N45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N46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75906" w:rsidRDefault="009D2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</w:tbl>
    <w:p w:rsidR="00075906" w:rsidRDefault="00075906">
      <w:pPr>
        <w:spacing w:line="360" w:lineRule="auto"/>
        <w:jc w:val="left"/>
        <w:textAlignment w:val="center"/>
        <w:rPr>
          <w:color w:val="000000"/>
        </w:rPr>
      </w:pP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中个体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基因型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使用微卫星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鉴定个体时，能区分的个体数是由微卫星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基因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的数目和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的数目决定的。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科学家根据表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信息，使用了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法的原理来估算这个岛上貉的种群数量，计算过程及结果为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075906" w:rsidRDefault="009D2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在上述研究基础上，利用现有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样品，设计一个实验方案，了解该岛貉种群的性别比例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sectPr w:rsidR="00075906" w:rsidSect="00C321EB">
      <w:headerReference w:type="default" r:id="rId23"/>
      <w:footerReference w:type="default" r:id="rId24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25A1" w:rsidRDefault="009D25A1">
      <w:r>
        <w:separator/>
      </w:r>
    </w:p>
  </w:endnote>
  <w:endnote w:type="continuationSeparator" w:id="0">
    <w:p w:rsidR="009D25A1" w:rsidRDefault="009D25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278E" w:rsidRDefault="009D25A1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542EAD">
      <w:rPr>
        <w:noProof/>
      </w:rPr>
      <w:t>2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542EAD">
      <w:rPr>
        <w:noProof/>
      </w:rPr>
      <w:t>10</w:t>
    </w:r>
    <w:r>
      <w:fldChar w:fldCharType="end"/>
    </w:r>
    <w:r>
      <w:t>页</w:t>
    </w:r>
  </w:p>
  <w:p w:rsidR="0090278E" w:rsidRDefault="0090278E">
    <w:pPr>
      <w:pStyle w:val="a4"/>
    </w:pPr>
  </w:p>
  <w:p w:rsidR="004151FC" w:rsidRDefault="009D25A1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6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25A1" w:rsidRDefault="009D25A1">
      <w:r>
        <w:separator/>
      </w:r>
    </w:p>
  </w:footnote>
  <w:footnote w:type="continuationSeparator" w:id="0">
    <w:p w:rsidR="009D25A1" w:rsidRDefault="009D25A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51FC" w:rsidRDefault="009D25A1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ED4C3F86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47B0BC6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8A80CBE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DE0E714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20826C88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EB043AA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29D074A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1EA8676C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6DC20A6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7DF2"/>
    <w:rsid w:val="00005EBC"/>
    <w:rsid w:val="00016BFA"/>
    <w:rsid w:val="000460FF"/>
    <w:rsid w:val="00054E7B"/>
    <w:rsid w:val="00075906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42EA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D25A1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styleId="a8">
    <w:name w:val="Balloon Text"/>
    <w:basedOn w:val="a"/>
    <w:link w:val="Char0"/>
    <w:semiHidden/>
    <w:unhideWhenUsed/>
    <w:rsid w:val="00542EAD"/>
    <w:rPr>
      <w:sz w:val="18"/>
      <w:szCs w:val="18"/>
    </w:rPr>
  </w:style>
  <w:style w:type="character" w:customStyle="1" w:styleId="Char0">
    <w:name w:val="批注框文本 Char"/>
    <w:basedOn w:val="a0"/>
    <w:link w:val="a8"/>
    <w:semiHidden/>
    <w:rsid w:val="00542EAD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styleId="a8">
    <w:name w:val="Balloon Text"/>
    <w:basedOn w:val="a"/>
    <w:link w:val="Char0"/>
    <w:semiHidden/>
    <w:unhideWhenUsed/>
    <w:rsid w:val="00542EAD"/>
    <w:rPr>
      <w:sz w:val="18"/>
      <w:szCs w:val="18"/>
    </w:rPr>
  </w:style>
  <w:style w:type="character" w:customStyle="1" w:styleId="Char0">
    <w:name w:val="批注框文本 Char"/>
    <w:basedOn w:val="a0"/>
    <w:link w:val="a8"/>
    <w:semiHidden/>
    <w:rsid w:val="00542EA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B8EE7C-1EFB-4D3F-8D26-FBD38D93FD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987</Words>
  <Characters>5632</Characters>
  <Application>Microsoft Office Word</Application>
  <DocSecurity>0</DocSecurity>
  <Lines>46</Lines>
  <Paragraphs>13</Paragraphs>
  <ScaleCrop>false</ScaleCrop>
  <Company>学科网 www.zxxk.com</Company>
  <LinksUpToDate>false</LinksUpToDate>
  <CharactersWithSpaces>6606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3778879092973568</dc:description>
  <cp:lastModifiedBy>xb21cn</cp:lastModifiedBy>
  <cp:revision>10</cp:revision>
  <dcterms:created xsi:type="dcterms:W3CDTF">2025-06-17T19:00:00Z</dcterms:created>
  <dcterms:modified xsi:type="dcterms:W3CDTF">2025-06-18T09:19:00Z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