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5860" w:rsidRPr="00BE1BCD" w:rsidRDefault="0087094A">
      <w:pPr>
        <w:spacing w:line="285" w:lineRule="auto"/>
      </w:pPr>
      <w:r>
        <w:rPr>
          <w:rFonts w:ascii="宋体" w:hAnsi="宋体"/>
          <w:b/>
          <w:noProof/>
          <w:sz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12090400</wp:posOffset>
            </wp:positionH>
            <wp:positionV relativeFrom="topMargin">
              <wp:posOffset>12534900</wp:posOffset>
            </wp:positionV>
            <wp:extent cx="279400" cy="469900"/>
            <wp:effectExtent l="0" t="0" r="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机密</w:t>
      </w:r>
      <w:r>
        <w:rPr>
          <w:rFonts w:ascii="宋体" w:hAnsi="宋体"/>
          <w:b/>
          <w:sz w:val="24"/>
        </w:rPr>
        <w:t>★</w:t>
      </w:r>
      <w:r>
        <w:rPr>
          <w:rFonts w:ascii="宋体" w:hAnsi="宋体"/>
          <w:b/>
          <w:sz w:val="24"/>
        </w:rPr>
        <w:t>启用前</w:t>
      </w:r>
    </w:p>
    <w:p w:rsidR="00FC5860" w:rsidRPr="00BE1BCD" w:rsidRDefault="0087094A">
      <w:pPr>
        <w:spacing w:line="285" w:lineRule="auto"/>
        <w:jc w:val="center"/>
      </w:pPr>
      <w:r>
        <w:rPr>
          <w:rFonts w:eastAsia="Times New Roman" w:cs="Times New Roman"/>
          <w:b/>
          <w:sz w:val="32"/>
        </w:rPr>
        <w:t>2025</w:t>
      </w:r>
      <w:r>
        <w:rPr>
          <w:rFonts w:ascii="宋体" w:hAnsi="宋体"/>
          <w:b/>
          <w:sz w:val="32"/>
        </w:rPr>
        <w:t>年黑龙江、吉林、辽宁、内蒙古普通高等学校招生选择性考试</w:t>
      </w:r>
    </w:p>
    <w:p w:rsidR="00FC5860" w:rsidRPr="00BE1BCD" w:rsidRDefault="0087094A">
      <w:pPr>
        <w:spacing w:line="285" w:lineRule="auto"/>
        <w:jc w:val="center"/>
      </w:pPr>
      <w:r>
        <w:rPr>
          <w:rFonts w:ascii="宋体" w:hAnsi="宋体"/>
          <w:b/>
          <w:sz w:val="32"/>
        </w:rPr>
        <w:t>生物学</w:t>
      </w:r>
    </w:p>
    <w:p w:rsidR="00FC5860" w:rsidRPr="00BE1BCD" w:rsidRDefault="0087094A">
      <w:pPr>
        <w:spacing w:line="285" w:lineRule="auto"/>
        <w:jc w:val="center"/>
      </w:pPr>
      <w:r>
        <w:rPr>
          <w:rFonts w:ascii="宋体" w:hAnsi="宋体"/>
          <w:b/>
          <w:sz w:val="24"/>
        </w:rPr>
        <w:t>本试卷共</w:t>
      </w:r>
      <w:r>
        <w:rPr>
          <w:rFonts w:eastAsia="Times New Roman" w:cs="Times New Roman"/>
          <w:b/>
          <w:sz w:val="24"/>
        </w:rPr>
        <w:t>25</w:t>
      </w:r>
      <w:r>
        <w:rPr>
          <w:rFonts w:ascii="宋体" w:hAnsi="宋体"/>
          <w:b/>
          <w:sz w:val="24"/>
        </w:rPr>
        <w:t>题，共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11</w:t>
      </w:r>
      <w:r>
        <w:rPr>
          <w:rFonts w:ascii="宋体" w:hAnsi="宋体"/>
          <w:b/>
          <w:sz w:val="24"/>
        </w:rPr>
        <w:t>页。考试结束后，将本试题和答题卡一并交回。</w:t>
      </w:r>
    </w:p>
    <w:p w:rsidR="00FC5860" w:rsidRPr="00BE1BCD" w:rsidRDefault="0087094A">
      <w:pPr>
        <w:spacing w:line="285" w:lineRule="auto"/>
      </w:pPr>
      <w:r>
        <w:rPr>
          <w:rFonts w:ascii="宋体" w:hAnsi="宋体"/>
          <w:b/>
          <w:sz w:val="24"/>
        </w:rPr>
        <w:t>注意事项：</w:t>
      </w:r>
    </w:p>
    <w:p w:rsidR="00FC5860" w:rsidRPr="00BE1BCD" w:rsidRDefault="0087094A">
      <w:pPr>
        <w:spacing w:line="285" w:lineRule="auto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．答题前，考生先将自己的姓名、准考证号码填写清楚，将条形码准确粘贴在条形码区域内。</w:t>
      </w:r>
    </w:p>
    <w:p w:rsidR="00FC5860" w:rsidRPr="00BE1BCD" w:rsidRDefault="0087094A">
      <w:pPr>
        <w:spacing w:line="285" w:lineRule="auto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铅笔填涂；非选择题必须使用</w:t>
      </w:r>
      <w:r>
        <w:rPr>
          <w:rFonts w:eastAsia="Times New Roman" w:cs="Times New Roman"/>
          <w:b/>
          <w:sz w:val="24"/>
        </w:rPr>
        <w:t>0.5</w:t>
      </w:r>
      <w:r>
        <w:rPr>
          <w:rFonts w:ascii="宋体" w:hAnsi="宋体"/>
          <w:b/>
          <w:sz w:val="24"/>
        </w:rPr>
        <w:t>毫米黑色字迹的签字笔书写，字体工整，笔记清楚。</w:t>
      </w:r>
    </w:p>
    <w:p w:rsidR="00FC5860" w:rsidRPr="00BE1BCD" w:rsidRDefault="0087094A">
      <w:pPr>
        <w:spacing w:line="285" w:lineRule="auto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．请按照题号顺序在答题卡各题目的答题区域内作答，超出答题区域书写的答案无效；在草稿纸、试卷上答题无效。</w:t>
      </w:r>
    </w:p>
    <w:p w:rsidR="00FC5860" w:rsidRPr="00BE1BCD" w:rsidRDefault="0087094A">
      <w:pPr>
        <w:spacing w:line="285" w:lineRule="auto"/>
      </w:pP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．作图可先使用铅笔画出，确定后必须用黑色字迹的签字笔描黑。</w:t>
      </w:r>
    </w:p>
    <w:p w:rsidR="00FC5860" w:rsidRPr="00BE1BCD" w:rsidRDefault="0087094A">
      <w:pPr>
        <w:spacing w:line="285" w:lineRule="auto"/>
      </w:pPr>
      <w:r>
        <w:rPr>
          <w:rFonts w:eastAsia="Times New Roman" w:cs="Times New Roman"/>
          <w:b/>
          <w:sz w:val="24"/>
        </w:rPr>
        <w:t>5</w:t>
      </w:r>
      <w:r>
        <w:rPr>
          <w:rFonts w:ascii="宋体" w:hAnsi="宋体"/>
          <w:b/>
          <w:sz w:val="24"/>
        </w:rPr>
        <w:t>．保持卡面清洁，不要折叠、不要弄破、弄皱，不准使用涂改液、修正带、刮纸刀。</w:t>
      </w:r>
    </w:p>
    <w:p w:rsidR="00FC5860" w:rsidRPr="00BE1BCD" w:rsidRDefault="0087094A">
      <w:pPr>
        <w:spacing w:line="285" w:lineRule="auto"/>
      </w:pPr>
      <w:r>
        <w:rPr>
          <w:rFonts w:ascii="宋体" w:hAnsi="宋体"/>
          <w:b/>
          <w:sz w:val="24"/>
        </w:rPr>
        <w:t>一、选择题：本题共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30</w:t>
      </w:r>
      <w:r>
        <w:rPr>
          <w:rFonts w:ascii="宋体" w:hAnsi="宋体"/>
          <w:b/>
          <w:sz w:val="24"/>
        </w:rPr>
        <w:t>分。在每小题给出的四个选项中，只有一项是符合题目要求的。</w:t>
      </w:r>
    </w:p>
    <w:p w:rsidR="00FC5860" w:rsidRPr="00BE1BCD" w:rsidRDefault="0087094A">
      <w:pPr>
        <w:spacing w:line="360" w:lineRule="auto"/>
      </w:pPr>
      <w:r>
        <w:t xml:space="preserve">1. </w:t>
      </w:r>
      <w:r>
        <w:rPr>
          <w:rFonts w:ascii="宋体" w:hAnsi="宋体"/>
        </w:rPr>
        <w:t>下列关于耐高温的</w:t>
      </w:r>
      <w:r>
        <w:rPr>
          <w:rFonts w:eastAsia="Times New Roman" w:cs="Times New Roman"/>
        </w:rPr>
        <w:t>DNA</w:t>
      </w:r>
      <w:r>
        <w:rPr>
          <w:rFonts w:ascii="宋体" w:hAnsi="宋体"/>
        </w:rPr>
        <w:t>聚合酶的叙述正确的是（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:rsidR="00643730" w:rsidRDefault="00FC5860">
      <w:pPr>
        <w:spacing w:line="360" w:lineRule="auto"/>
        <w:jc w:val="left"/>
        <w:textAlignment w:val="center"/>
      </w:pPr>
      <w:r w:rsidRPr="00BE1BCD">
        <w:t xml:space="preserve">A. </w:t>
      </w:r>
      <w:r w:rsidR="0087094A">
        <w:rPr>
          <w:rFonts w:ascii="宋体" w:hAnsi="宋体"/>
        </w:rPr>
        <w:t>基本单位是脱氧核苷酸</w:t>
      </w:r>
    </w:p>
    <w:p w:rsidR="00643730" w:rsidRDefault="00FC5860">
      <w:pPr>
        <w:spacing w:line="360" w:lineRule="auto"/>
        <w:jc w:val="left"/>
        <w:textAlignment w:val="center"/>
      </w:pPr>
      <w:r w:rsidRPr="00BE1BCD">
        <w:t xml:space="preserve">B. </w:t>
      </w:r>
      <w:r w:rsidR="0087094A">
        <w:rPr>
          <w:rFonts w:ascii="宋体" w:hAnsi="宋体"/>
        </w:rPr>
        <w:t>在细胞内或细胞外均可发挥作用</w:t>
      </w:r>
    </w:p>
    <w:p w:rsidR="00643730" w:rsidRDefault="00FC5860">
      <w:pPr>
        <w:spacing w:line="360" w:lineRule="auto"/>
        <w:jc w:val="left"/>
        <w:textAlignment w:val="center"/>
      </w:pPr>
      <w:r w:rsidRPr="00BE1BCD">
        <w:t xml:space="preserve">C. </w:t>
      </w:r>
      <w:r w:rsidR="0087094A">
        <w:rPr>
          <w:rFonts w:ascii="宋体" w:hAnsi="宋体"/>
        </w:rPr>
        <w:t>当模板</w:t>
      </w:r>
      <w:r w:rsidR="0087094A">
        <w:rPr>
          <w:rFonts w:eastAsia="Times New Roman" w:cs="Times New Roman"/>
        </w:rPr>
        <w:t>DNA</w:t>
      </w:r>
      <w:r w:rsidR="0087094A">
        <w:rPr>
          <w:rFonts w:ascii="宋体" w:hAnsi="宋体"/>
        </w:rPr>
        <w:t>和脱氧核苷酸存在时即可催化反应</w:t>
      </w:r>
    </w:p>
    <w:p w:rsidR="00643730" w:rsidRDefault="00FC5860">
      <w:pPr>
        <w:spacing w:line="360" w:lineRule="auto"/>
        <w:jc w:val="left"/>
        <w:textAlignment w:val="center"/>
        <w:rPr>
          <w:color w:val="000000"/>
        </w:rPr>
      </w:pPr>
      <w:r w:rsidRPr="00BE1BCD">
        <w:t xml:space="preserve">D. </w:t>
      </w:r>
      <w:r w:rsidR="0087094A">
        <w:rPr>
          <w:rFonts w:ascii="宋体" w:hAnsi="宋体"/>
        </w:rPr>
        <w:t>为维持较高活性，适宜在</w:t>
      </w:r>
      <w:r w:rsidR="0087094A">
        <w:rPr>
          <w:rFonts w:eastAsia="Times New Roman" w:cs="Times New Roman"/>
        </w:rPr>
        <w:t>70</w:t>
      </w:r>
      <w:r w:rsidR="0087094A">
        <w:rPr>
          <w:rFonts w:ascii="宋体" w:hAnsi="宋体"/>
        </w:rPr>
        <w:t>℃</w:t>
      </w:r>
      <w:r w:rsidR="0087094A">
        <w:rPr>
          <w:rFonts w:eastAsia="Times New Roman" w:cs="Times New Roman"/>
        </w:rPr>
        <w:t>~75</w:t>
      </w:r>
      <w:r w:rsidR="0087094A">
        <w:rPr>
          <w:rFonts w:ascii="宋体" w:hAnsi="宋体"/>
        </w:rPr>
        <w:t>℃</w:t>
      </w:r>
      <w:r w:rsidR="0087094A">
        <w:rPr>
          <w:rFonts w:ascii="宋体" w:hAnsi="宋体"/>
        </w:rPr>
        <w:t>下保存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下列关于现代生物进化理论的叙述错误的是（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进化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基本单位是种群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可遗传变异使种群基因频率定向改变，导致生物进化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某些物种经过地理隔离后出现生殖隔离会产生新物种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不同物种间、生物与无机环境之间在相互影响中不断进化和发展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下列关于人体内环境稳态的叙述错误的是（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胰岛素受体被破坏，可引起血糖升高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抗利尿激素分泌不足时，可引起尿量减少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醛固酮分泌过多，可引起血钠含量上升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血液中</w:t>
      </w:r>
      <w:r>
        <w:rPr>
          <w:rFonts w:eastAsia="Times New Roman" w:cs="Times New Roman"/>
          <w:color w:val="000000"/>
        </w:rPr>
        <w:t>Ca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浓度过低，可引起肌肉抽搐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科研人员通过稀释涂布平板法筛选出高耐受且降解金霉素（</w:t>
      </w:r>
      <w:r>
        <w:rPr>
          <w:rFonts w:eastAsia="Times New Roman" w:cs="Times New Roman"/>
          <w:color w:val="000000"/>
        </w:rPr>
        <w:t>C</w:t>
      </w:r>
      <w:r>
        <w:rPr>
          <w:rFonts w:eastAsia="Times New Roman" w:cs="Times New Roman"/>
          <w:color w:val="000000"/>
          <w:vertAlign w:val="subscript"/>
        </w:rPr>
        <w:t>22</w:t>
      </w:r>
      <w:r>
        <w:rPr>
          <w:rFonts w:eastAsia="Times New Roman" w:cs="Times New Roman"/>
          <w:color w:val="000000"/>
        </w:rPr>
        <w:t>H</w:t>
      </w:r>
      <w:r>
        <w:rPr>
          <w:rFonts w:eastAsia="Times New Roman" w:cs="Times New Roman"/>
          <w:color w:val="000000"/>
          <w:vertAlign w:val="subscript"/>
        </w:rPr>
        <w:t>23</w:t>
      </w:r>
      <w:r>
        <w:rPr>
          <w:rFonts w:eastAsia="Times New Roman" w:cs="Times New Roman"/>
          <w:color w:val="000000"/>
        </w:rPr>
        <w:t>ClN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eastAsia="Times New Roman" w:cs="Times New Roman"/>
          <w:color w:val="000000"/>
          <w:vertAlign w:val="subscript"/>
        </w:rPr>
        <w:t>8</w:t>
      </w:r>
      <w:r>
        <w:rPr>
          <w:rFonts w:ascii="宋体" w:hAnsi="宋体"/>
          <w:color w:val="000000"/>
        </w:rPr>
        <w:t>）能力强的菌株，旨在解决金霉素过量使用所导致的环境污染问题。下列叙述错误的是（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以金霉素为唯一碳源可制备选择培养基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逐步提高培养基中金霉素的浓度有助于获得高耐受的菌株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配制选择培养基时，需确保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满足实验要求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用接种环将菌液均匀地涂布在培养基表面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下图为某森林生态系统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部分食物网。下列叙述正确的是（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44196" cy="1190625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4196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图中的生物及其非生物环境构成生态系统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野猪数量下降时，虎对豹的排斥加</w:t>
      </w:r>
      <w:r>
        <w:rPr>
          <w:rFonts w:ascii="宋体" w:hAnsi="宋体"/>
          <w:color w:val="000000"/>
        </w:rPr>
        <w:t>剧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图中的食物网共由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条食物链组成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树木同化的能量约有</w:t>
      </w:r>
      <w:r>
        <w:rPr>
          <w:rFonts w:eastAsia="Times New Roman" w:cs="Times New Roman"/>
          <w:color w:val="000000"/>
        </w:rPr>
        <w:t>10%~20%</w:t>
      </w:r>
      <w:r>
        <w:rPr>
          <w:rFonts w:ascii="宋体" w:hAnsi="宋体"/>
          <w:color w:val="000000"/>
        </w:rPr>
        <w:t>流入到野猪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为修复矿藏开采对土壤、植被等造成的毁坏，采用生态工程技术对矿区开展生态修复。下列叙述错误的是（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修复首先要对土壤进行改良，为植物生长提供条件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修复应遵循生态工程的协调原理，因地制宜配置物种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修复后，植物多样性提升，丰富了动物栖息环境，促进了群落演替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修复后，生物群落能实现自我更新和维持，体现了生态工程整体原理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红藻兼具无性生殖和有性生殖。海蟑螂依赖红藻躲避天敌，并取食红藻表面附生的硅藻，在此过程中携带了红藻的雄配子，使红藻有性生殖成功率提升。下列叙述错误的是（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海蟑螂与红藻存在互惠关系，二者协同进化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海蟑螂数量减少不利于红藻形成多样的变异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硅藻附生于红藻，因此二者存</w:t>
      </w:r>
      <w:r>
        <w:rPr>
          <w:rFonts w:ascii="宋体" w:hAnsi="宋体"/>
          <w:noProof/>
          <w:color w:val="000000"/>
          <w:position w:val="-1"/>
        </w:rPr>
        <w:drawing>
          <wp:inline distT="0" distB="0" distL="0" distR="0">
            <wp:extent cx="139700" cy="1905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寄生关系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海蟑螂与红藻的关系类似传粉昆虫与虫媒花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利用植物组织培养技术获得红豆杉试管苗，有助于解决紫杉醇药源短缺问题。下列叙述正确的是（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细胞分裂素和生长素的比例会影响愈伤组织的形成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培养</w:t>
      </w:r>
      <w:r>
        <w:rPr>
          <w:rFonts w:ascii="宋体" w:hAnsi="宋体"/>
          <w:color w:val="000000"/>
        </w:rPr>
        <w:t>基先分装到锥形瓶，封口后用干热灭菌法灭菌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芽原基细胞由于基因选择性表达，不能用作外植体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紫杉醇不能通过细胞产物的工厂化生产来获取，植物组织培养优势明显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研究显示，约</w:t>
      </w:r>
      <w:r>
        <w:rPr>
          <w:rFonts w:eastAsia="Times New Roman" w:cs="Times New Roman"/>
          <w:color w:val="000000"/>
        </w:rPr>
        <w:t>70%</w:t>
      </w:r>
      <w:r>
        <w:rPr>
          <w:rFonts w:ascii="宋体" w:hAnsi="宋体"/>
          <w:color w:val="000000"/>
        </w:rPr>
        <w:t>的小鼠体细胞核移植胚胎未能成功发育至囊胚期，且仅有约</w:t>
      </w:r>
      <w:r>
        <w:rPr>
          <w:rFonts w:eastAsia="Times New Roman" w:cs="Times New Roman"/>
          <w:color w:val="000000"/>
        </w:rPr>
        <w:t>2%</w:t>
      </w:r>
      <w:r>
        <w:rPr>
          <w:rFonts w:ascii="宋体" w:hAnsi="宋体"/>
          <w:color w:val="000000"/>
        </w:rPr>
        <w:t>的胚胎移植到代孕母</w:t>
      </w:r>
      <w:r>
        <w:rPr>
          <w:rFonts w:ascii="宋体" w:hAnsi="宋体"/>
          <w:color w:val="000000"/>
        </w:rPr>
        <w:lastRenderedPageBreak/>
        <w:t>鼠后可正常发育。下列叙述错误的是（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体细胞核进入去核的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Ⅱ</w:t>
      </w:r>
      <w:r>
        <w:rPr>
          <w:rFonts w:ascii="宋体" w:hAnsi="宋体"/>
          <w:color w:val="000000"/>
        </w:rPr>
        <w:t>期卵母细胞形成重构胚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移植前胚胎发育率低，可能是植入的体细胞核不能完全恢复分化前的功能状态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胚胎移植到代孕母鼠后成活率低，可能是早期胚胎未能及时从滋养层内孵化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为提高胚胎成活率，可用胚胎细胞核移植代替体细胞核移植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黑暗条件下，叶绿体内膜的载体蛋白</w:t>
      </w:r>
      <w:r>
        <w:rPr>
          <w:rFonts w:eastAsia="Times New Roman" w:cs="Times New Roman"/>
          <w:color w:val="000000"/>
        </w:rPr>
        <w:t>NTT</w:t>
      </w:r>
      <w:r>
        <w:rPr>
          <w:rFonts w:ascii="宋体" w:hAnsi="宋体"/>
          <w:color w:val="000000"/>
        </w:rPr>
        <w:t>顺浓度梯度运输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ADP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Pi</w:t>
      </w:r>
      <w:r>
        <w:rPr>
          <w:rFonts w:ascii="宋体" w:hAnsi="宋体"/>
          <w:color w:val="000000"/>
        </w:rPr>
        <w:t>的过程示意图如下。其他条件均适宜，下列叙述正确的是（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14970" cy="1714500"/>
            <wp:effectExtent l="0" t="0" r="4445" b="0"/>
            <wp:docPr id="100005" name="图片 10000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1497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ADP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Pi</w:t>
      </w:r>
      <w:r>
        <w:rPr>
          <w:rFonts w:ascii="宋体" w:hAnsi="宋体"/>
          <w:color w:val="000000"/>
        </w:rPr>
        <w:t>通过</w:t>
      </w:r>
      <w:r>
        <w:rPr>
          <w:rFonts w:eastAsia="Times New Roman" w:cs="Times New Roman"/>
          <w:color w:val="000000"/>
        </w:rPr>
        <w:t>NTT</w:t>
      </w:r>
      <w:r>
        <w:rPr>
          <w:rFonts w:ascii="宋体" w:hAnsi="宋体"/>
          <w:color w:val="000000"/>
        </w:rPr>
        <w:t>时，无需与</w:t>
      </w:r>
      <w:r>
        <w:rPr>
          <w:rFonts w:eastAsia="Times New Roman" w:cs="Times New Roman"/>
          <w:color w:val="000000"/>
        </w:rPr>
        <w:t>NTT</w:t>
      </w:r>
      <w:r>
        <w:rPr>
          <w:rFonts w:ascii="宋体" w:hAnsi="宋体"/>
          <w:color w:val="000000"/>
        </w:rPr>
        <w:t>结合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NTT</w:t>
      </w:r>
      <w:r>
        <w:rPr>
          <w:rFonts w:ascii="宋体" w:hAnsi="宋体"/>
          <w:color w:val="000000"/>
        </w:rPr>
        <w:t>转运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ADP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Pi</w:t>
      </w:r>
      <w:r>
        <w:rPr>
          <w:rFonts w:ascii="宋体" w:hAnsi="宋体"/>
          <w:color w:val="000000"/>
        </w:rPr>
        <w:t>的方式为主动运输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图中进入叶绿体基质的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均由线粒体产生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光照充足，</w:t>
      </w:r>
      <w:r>
        <w:rPr>
          <w:rFonts w:eastAsia="Times New Roman" w:cs="Times New Roman"/>
          <w:color w:val="000000"/>
        </w:rPr>
        <w:t>NTT</w:t>
      </w:r>
      <w:r>
        <w:rPr>
          <w:rFonts w:ascii="宋体" w:hAnsi="宋体"/>
          <w:color w:val="000000"/>
        </w:rPr>
        <w:t>运出</w:t>
      </w:r>
      <w:r>
        <w:rPr>
          <w:rFonts w:eastAsia="Times New Roman" w:cs="Times New Roman"/>
          <w:color w:val="000000"/>
        </w:rPr>
        <w:t>ADP</w:t>
      </w:r>
      <w:r>
        <w:rPr>
          <w:rFonts w:ascii="宋体" w:hAnsi="宋体"/>
          <w:color w:val="000000"/>
        </w:rPr>
        <w:t>的数量会减少甚至停止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下列关于实验操作和现象的叙述错误的是（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观察叶绿体的形态和分布，需先用低倍镜找到叶绿体再换用高倍镜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用斐林试剂检测梨汁中的还原糖时，需要加热后才能呈现砖红色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将染色后的洋葱根尖置于载玻片上，滴清水并盖上盖玻片即可观察染色体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分离菠菜叶中的色素时，因层析液有挥发性，需在通风好的条件下进行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黄毛鼠在不同环境温度下独居或聚群时的耗氧量（代表产热量）测定值见下图。下列叙述正确的是（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71763" cy="20955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71763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</w:t>
      </w:r>
      <w:r>
        <w:rPr>
          <w:rFonts w:ascii="宋体" w:hAnsi="宋体"/>
          <w:color w:val="000000"/>
        </w:rPr>
        <w:t>相比，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</w:t>
      </w:r>
      <w:r>
        <w:rPr>
          <w:rFonts w:ascii="宋体" w:hAnsi="宋体"/>
          <w:color w:val="000000"/>
        </w:rPr>
        <w:t>时，黄毛鼠产热量增加，散热量减少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</w:t>
      </w:r>
      <w:r>
        <w:rPr>
          <w:rFonts w:ascii="宋体" w:hAnsi="宋体"/>
          <w:color w:val="000000"/>
        </w:rPr>
        <w:t>时，聚群个体的产热量和散热量比独居的多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℃</w:t>
      </w:r>
      <w:r>
        <w:rPr>
          <w:rFonts w:ascii="宋体" w:hAnsi="宋体"/>
          <w:color w:val="000000"/>
        </w:rPr>
        <w:t>时，聚</w:t>
      </w:r>
      <w:r>
        <w:rPr>
          <w:rFonts w:ascii="宋体" w:hAnsi="宋体"/>
          <w:color w:val="000000"/>
        </w:rPr>
        <w:t>群个体下丘脑合成和分泌</w:t>
      </w:r>
      <w:r>
        <w:rPr>
          <w:rFonts w:eastAsia="Times New Roman" w:cs="Times New Roman"/>
          <w:color w:val="000000"/>
        </w:rPr>
        <w:t>TRH</w:t>
      </w:r>
      <w:r>
        <w:rPr>
          <w:rFonts w:ascii="宋体" w:hAnsi="宋体"/>
          <w:color w:val="000000"/>
        </w:rPr>
        <w:t>比独居的少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聚群是黄毛鼠在低温环境下减少能量消耗的生理性调节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光照、植物激素</w:t>
      </w:r>
      <w:r>
        <w:rPr>
          <w:rFonts w:eastAsia="Times New Roman" w:cs="Times New Roman"/>
          <w:color w:val="000000"/>
        </w:rPr>
        <w:t>EBR</w:t>
      </w:r>
      <w:r>
        <w:rPr>
          <w:rFonts w:ascii="宋体" w:hAnsi="宋体"/>
          <w:color w:val="000000"/>
        </w:rPr>
        <w:t>、脱落酸和赤霉素均参与调节拟南芥种子的萌发，部分作用关系如下图。下列叙述正确的是（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19550" cy="18859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光敏色素是一类含有色素的脂质化合物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图中激素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是赤霉素，激素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是脱落酸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EBR</w:t>
      </w:r>
      <w:r>
        <w:rPr>
          <w:rFonts w:ascii="宋体" w:hAnsi="宋体"/>
          <w:color w:val="000000"/>
        </w:rPr>
        <w:t>和赤霉素是相抗衡的关系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红光和</w:t>
      </w:r>
      <w:r>
        <w:rPr>
          <w:rFonts w:eastAsia="Times New Roman" w:cs="Times New Roman"/>
          <w:color w:val="000000"/>
        </w:rPr>
        <w:t>EBR</w:t>
      </w:r>
      <w:r>
        <w:rPr>
          <w:rFonts w:ascii="宋体" w:hAnsi="宋体"/>
          <w:color w:val="000000"/>
        </w:rPr>
        <w:t>均能诱导拟南芥种子萌发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下列关于基因表达及其调控的叙述错误的是（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转录和翻译过程中，碱基互补配对的方式不同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转录时通过</w:t>
      </w:r>
      <w:r>
        <w:rPr>
          <w:rFonts w:eastAsia="Times New Roman" w:cs="Times New Roman"/>
          <w:color w:val="000000"/>
        </w:rPr>
        <w:t>RNA</w:t>
      </w:r>
      <w:r>
        <w:rPr>
          <w:rFonts w:ascii="宋体" w:hAnsi="宋体"/>
          <w:color w:val="000000"/>
        </w:rPr>
        <w:t>聚合酶打开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双链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某些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甲基化可通过抑制基因转录影响生物表型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核糖体与</w:t>
      </w:r>
      <w:r>
        <w:rPr>
          <w:rFonts w:eastAsia="Times New Roman" w:cs="Times New Roman"/>
          <w:color w:val="000000"/>
        </w:rPr>
        <w:t>mRNA</w:t>
      </w:r>
      <w:r>
        <w:rPr>
          <w:rFonts w:ascii="宋体" w:hAnsi="宋体"/>
          <w:color w:val="000000"/>
        </w:rPr>
        <w:t>的结合部位形成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个</w:t>
      </w:r>
      <w:r>
        <w:rPr>
          <w:rFonts w:eastAsia="Times New Roman" w:cs="Times New Roman"/>
          <w:color w:val="000000"/>
        </w:rPr>
        <w:t>tRNA</w:t>
      </w:r>
      <w:r>
        <w:rPr>
          <w:rFonts w:ascii="宋体" w:hAnsi="宋体"/>
          <w:color w:val="000000"/>
        </w:rPr>
        <w:t>结合位点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某二倍体（</w:t>
      </w:r>
      <w:r>
        <w:rPr>
          <w:rFonts w:eastAsia="Times New Roman" w:cs="Times New Roman"/>
          <w:color w:val="000000"/>
        </w:rPr>
        <w:t>2n</w:t>
      </w:r>
      <w:r>
        <w:rPr>
          <w:rFonts w:ascii="宋体" w:hAnsi="宋体"/>
          <w:color w:val="000000"/>
        </w:rPr>
        <w:t>）植物的三体（</w:t>
      </w:r>
      <w:r>
        <w:rPr>
          <w:rFonts w:eastAsia="Times New Roman" w:cs="Times New Roman"/>
          <w:color w:val="000000"/>
        </w:rPr>
        <w:t>2n+1</w:t>
      </w:r>
      <w:r>
        <w:rPr>
          <w:rFonts w:ascii="宋体" w:hAnsi="宋体"/>
          <w:color w:val="000000"/>
        </w:rPr>
        <w:t>）变异株可正常生长。该变异株减数分裂得到的配子为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型和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n+1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型两种，其中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n+1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型的花粉只有约</w:t>
      </w:r>
      <w:r>
        <w:rPr>
          <w:rFonts w:eastAsia="Times New Roman" w:cs="Times New Roman"/>
          <w:color w:val="000000"/>
        </w:rPr>
        <w:t>50%</w:t>
      </w:r>
      <w:r>
        <w:rPr>
          <w:rFonts w:ascii="宋体" w:hAnsi="宋体"/>
          <w:color w:val="000000"/>
        </w:rPr>
        <w:t>的受精率，而卵子不受影响。该变异株自交，假设四体（</w:t>
      </w:r>
      <w:r>
        <w:rPr>
          <w:rFonts w:eastAsia="Times New Roman" w:cs="Times New Roman"/>
          <w:color w:val="000000"/>
        </w:rPr>
        <w:t>2n+2</w:t>
      </w:r>
      <w:r>
        <w:rPr>
          <w:rFonts w:ascii="宋体" w:hAnsi="宋体"/>
          <w:color w:val="000000"/>
        </w:rPr>
        <w:t>）细胞无法存活，预期子一代中三体变异株的比例约为（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3/5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3/4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2/3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1/2</w:t>
      </w:r>
    </w:p>
    <w:p w:rsidR="00643730" w:rsidRDefault="0087094A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分。在每小题给出的四个选项中，有一项或多项是符合题目要求的。全部选对得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分，选对但选不全得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分，有选错得</w:t>
      </w:r>
      <w:r>
        <w:rPr>
          <w:rFonts w:eastAsia="Times New Roman" w:cs="Times New Roman"/>
          <w:b/>
          <w:color w:val="000000"/>
          <w:sz w:val="24"/>
        </w:rPr>
        <w:t>0</w:t>
      </w:r>
      <w:r>
        <w:rPr>
          <w:rFonts w:ascii="宋体" w:hAnsi="宋体"/>
          <w:b/>
          <w:color w:val="000000"/>
          <w:sz w:val="24"/>
        </w:rPr>
        <w:t>分。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下图为植物细胞呼吸的部分反应过程示意图，图中</w:t>
      </w:r>
      <w:r>
        <w:rPr>
          <w:rFonts w:eastAsia="Times New Roman" w:cs="Times New Roman"/>
          <w:color w:val="000000"/>
        </w:rPr>
        <w:t>NADH</w:t>
      </w:r>
      <w:r>
        <w:rPr>
          <w:rFonts w:ascii="宋体" w:hAnsi="宋体"/>
          <w:color w:val="000000"/>
        </w:rPr>
        <w:t>可储存能量，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表示不同反应阶段。下列叙述正确的是（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905125" cy="1676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发生在细胞质基质，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发生在线粒体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NADH</w:t>
      </w:r>
      <w:r>
        <w:rPr>
          <w:rFonts w:ascii="宋体" w:hAnsi="宋体"/>
          <w:color w:val="000000"/>
        </w:rPr>
        <w:t>通过一系列的化学反应参与了水的形成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无氧条件下，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不能进行，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能正常进行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无氧条件下，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产生的</w:t>
      </w:r>
      <w:r>
        <w:rPr>
          <w:rFonts w:eastAsia="Times New Roman" w:cs="Times New Roman"/>
          <w:color w:val="000000"/>
        </w:rPr>
        <w:t>NADH</w:t>
      </w:r>
      <w:r>
        <w:rPr>
          <w:rFonts w:ascii="宋体" w:hAnsi="宋体"/>
          <w:color w:val="000000"/>
        </w:rPr>
        <w:t>中的部分能量转移到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中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细胞通过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细胞受体（</w:t>
      </w:r>
      <w:r>
        <w:rPr>
          <w:rFonts w:eastAsia="Times New Roman" w:cs="Times New Roman"/>
          <w:color w:val="000000"/>
        </w:rPr>
        <w:t>TCR</w:t>
      </w:r>
      <w:r>
        <w:rPr>
          <w:rFonts w:ascii="宋体" w:hAnsi="宋体"/>
          <w:color w:val="000000"/>
        </w:rPr>
        <w:t>）识别肿瘤抗</w:t>
      </w:r>
      <w:r>
        <w:rPr>
          <w:rFonts w:ascii="宋体" w:hAnsi="宋体"/>
          <w:color w:val="000000"/>
        </w:rPr>
        <w:t>原，为研究</w:t>
      </w:r>
      <w:r>
        <w:rPr>
          <w:rFonts w:eastAsia="Times New Roman" w:cs="Times New Roman"/>
          <w:color w:val="000000"/>
        </w:rPr>
        <w:t>TCR</w:t>
      </w:r>
      <w:r>
        <w:rPr>
          <w:rFonts w:ascii="宋体" w:hAnsi="宋体"/>
          <w:color w:val="000000"/>
        </w:rPr>
        <w:t>与抗原结合的亲和力对肿瘤生长的影响，将高、低两种亲和力的特异性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细胞输入至肿瘤模型小鼠，检测肿瘤生长情况（图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）及评估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细胞耗竭程度（图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）。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细胞耗竭指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细胞功能下降和增殖能力减弱，表达耗竭标志物的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细胞比例与其耗竭程度正相关。下列叙述正确的是（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95600" cy="23241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343150" cy="2324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细胞的抗肿瘤作用体现了免疫自稳功能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细胞在抗肿瘤免疫中不需要抗原呈递细胞参与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低亲和力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细胞能够抑制肿瘤生长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高亲和力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细胞更易耗竭且能抑制小鼠的免疫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某山体公园自然条件下猕猴种群的环境容纳量约为</w:t>
      </w:r>
      <w:r>
        <w:rPr>
          <w:rFonts w:eastAsia="Times New Roman" w:cs="Times New Roman"/>
          <w:color w:val="000000"/>
        </w:rPr>
        <w:t>840</w:t>
      </w:r>
      <w:r>
        <w:rPr>
          <w:rFonts w:ascii="宋体" w:hAnsi="宋体"/>
          <w:color w:val="000000"/>
        </w:rPr>
        <w:t>只。</w:t>
      </w:r>
      <w:r>
        <w:rPr>
          <w:rFonts w:eastAsia="Times New Roman" w:cs="Times New Roman"/>
          <w:color w:val="000000"/>
        </w:rPr>
        <w:t>1986</w:t>
      </w:r>
      <w:r>
        <w:rPr>
          <w:rFonts w:ascii="宋体" w:hAnsi="宋体"/>
          <w:color w:val="000000"/>
        </w:rPr>
        <w:t>年后，游客的投喂和以保护为目的的固定投食，致使猕猴种群数量快速增长，引发了人猴冲突。为减少冲突事件的发生，研究人员做了相关调查，结果如下图。下列叙述正确的是（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524250" cy="1990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调查期间猕猴种群的</w:t>
      </w:r>
      <w:r>
        <w:rPr>
          <w:rFonts w:eastAsia="Times New Roman" w:cs="Times New Roman"/>
          <w:color w:val="000000"/>
        </w:rPr>
        <w:t>λ&gt;1</w:t>
      </w:r>
      <w:r>
        <w:rPr>
          <w:rFonts w:ascii="宋体" w:hAnsi="宋体"/>
          <w:color w:val="000000"/>
        </w:rPr>
        <w:t>，若现有条件不变，种群数量会持续增长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2013</w:t>
      </w:r>
      <w:r>
        <w:rPr>
          <w:rFonts w:ascii="宋体" w:hAnsi="宋体"/>
          <w:color w:val="000000"/>
        </w:rPr>
        <w:t>年人猴冲突事件减少，是因为猕猴种群数量接近自然条件下的环境容纳量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2016</w:t>
      </w:r>
      <w:r>
        <w:rPr>
          <w:rFonts w:ascii="宋体" w:hAnsi="宋体"/>
          <w:color w:val="000000"/>
        </w:rPr>
        <w:t>年后，猕猴种群数量超过自然条件下环境容纳量的主要原因是人为投食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为保护猕猴和减少人猴冲突，应适时迁出部分猕猴族群达到人与动物和谐相处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下图是制备抗白细胞介素</w:t>
      </w:r>
      <w:r>
        <w:rPr>
          <w:rFonts w:eastAsia="Times New Roman" w:cs="Times New Roman"/>
          <w:color w:val="000000"/>
        </w:rPr>
        <w:t>-6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IL-6</w:t>
      </w:r>
      <w:r>
        <w:rPr>
          <w:rFonts w:ascii="宋体" w:hAnsi="宋体"/>
          <w:color w:val="000000"/>
        </w:rPr>
        <w:t>）单克隆抗体的示意图。下列叙述错误的是（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33800" cy="1771162"/>
            <wp:effectExtent l="0" t="0" r="0" b="635"/>
            <wp:docPr id="100019" name="图片 10001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77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步骤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给小鼠注射</w:t>
      </w:r>
      <w:r>
        <w:rPr>
          <w:rFonts w:eastAsia="Times New Roman" w:cs="Times New Roman"/>
          <w:color w:val="000000"/>
        </w:rPr>
        <w:t>IL-6</w:t>
      </w:r>
      <w:r>
        <w:rPr>
          <w:rFonts w:ascii="宋体" w:hAnsi="宋体"/>
          <w:color w:val="000000"/>
        </w:rPr>
        <w:t>后，应从脾中分离筛选</w:t>
      </w:r>
      <w:r>
        <w:rPr>
          <w:rFonts w:eastAsia="Times New Roman" w:cs="Times New Roman"/>
          <w:color w:val="000000"/>
        </w:rPr>
        <w:t>T</w:t>
      </w:r>
      <w:r>
        <w:rPr>
          <w:rFonts w:ascii="宋体" w:hAnsi="宋体"/>
          <w:color w:val="000000"/>
        </w:rPr>
        <w:t>淋巴细胞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步骤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在脾组织中加入胃蛋白酶，制成单细胞悬液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步骤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加入灭活病毒或</w:t>
      </w:r>
      <w:r>
        <w:rPr>
          <w:rFonts w:eastAsia="Times New Roman" w:cs="Times New Roman"/>
          <w:color w:val="000000"/>
        </w:rPr>
        <w:t>PEG</w:t>
      </w:r>
      <w:r>
        <w:rPr>
          <w:rFonts w:ascii="宋体" w:hAnsi="宋体"/>
          <w:color w:val="000000"/>
        </w:rPr>
        <w:t>诱导细胞融合，体现了细胞膜的流动性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步骤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经过克隆化培养和抗体检测筛选出了杂交瘤细胞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中国养蚕制丝历史悠久。蚕卵的红色、黄色由常染色体上一对等位基因（</w:t>
      </w:r>
      <w:r>
        <w:rPr>
          <w:rFonts w:eastAsia="Times New Roman" w:cs="Times New Roman"/>
          <w:color w:val="000000"/>
        </w:rPr>
        <w:t>R/r</w:t>
      </w:r>
      <w:r>
        <w:rPr>
          <w:rFonts w:ascii="宋体" w:hAnsi="宋体"/>
          <w:color w:val="000000"/>
        </w:rPr>
        <w:t>）控制。将外源绿色蛋白基因（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）导入到纯合的黄卵（</w:t>
      </w:r>
      <w:r>
        <w:rPr>
          <w:rFonts w:eastAsia="Times New Roman" w:cs="Times New Roman"/>
          <w:color w:val="000000"/>
        </w:rPr>
        <w:t>rr</w:t>
      </w:r>
      <w:r>
        <w:rPr>
          <w:rFonts w:ascii="宋体" w:hAnsi="宋体"/>
          <w:color w:val="000000"/>
        </w:rPr>
        <w:t>）、结白茧雌蚕的</w:t>
      </w:r>
      <w:r>
        <w:rPr>
          <w:rFonts w:eastAsia="Times New Roman" w:cs="Times New Roman"/>
          <w:color w:val="000000"/>
        </w:rPr>
        <w:t>Z</w:t>
      </w:r>
      <w:r>
        <w:rPr>
          <w:rFonts w:ascii="宋体" w:hAnsi="宋体"/>
          <w:color w:val="000000"/>
        </w:rPr>
        <w:t>染色体上，获得结绿茧的亲本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，与纯合的红卵、结白茧雄蚕（亲本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）杂交选育红卵、结绿茧的纯合品系。不考虑突变，下列叙述正确的是（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雌蚕均表现出红卵、结绿茧表型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雄蚕次级精母细胞中的基因组成可能有</w:t>
      </w:r>
      <w:r>
        <w:rPr>
          <w:rFonts w:eastAsia="Times New Roman" w:cs="Times New Roman"/>
          <w:color w:val="000000"/>
        </w:rPr>
        <w:t>RRGG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rr</w:t>
      </w:r>
      <w:r>
        <w:rPr>
          <w:rFonts w:ascii="宋体" w:hAnsi="宋体"/>
          <w:color w:val="000000"/>
        </w:rPr>
        <w:t>等类型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随机交配得到的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中，红卵、结绿茧的个体比例是</w:t>
      </w:r>
      <w:r>
        <w:rPr>
          <w:rFonts w:eastAsia="Times New Roman" w:cs="Times New Roman"/>
          <w:color w:val="000000"/>
        </w:rPr>
        <w:t>3/8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中红卵、结绿茧的个体随机交配，子代中目的个体的比例是</w:t>
      </w:r>
      <w:r>
        <w:rPr>
          <w:rFonts w:eastAsia="Times New Roman" w:cs="Times New Roman"/>
          <w:color w:val="000000"/>
        </w:rPr>
        <w:t>2/9</w:t>
      </w:r>
    </w:p>
    <w:p w:rsidR="00643730" w:rsidRDefault="0087094A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三、非选择题：本题共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55</w:t>
      </w:r>
      <w:r>
        <w:rPr>
          <w:rFonts w:ascii="宋体" w:hAnsi="宋体"/>
          <w:b/>
          <w:color w:val="000000"/>
          <w:sz w:val="24"/>
        </w:rPr>
        <w:t>分。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21. </w:t>
      </w:r>
      <w:r>
        <w:rPr>
          <w:rFonts w:eastAsia="Times New Roman" w:cs="Times New Roman"/>
          <w:color w:val="000000"/>
        </w:rPr>
        <w:t>Rubisco</w:t>
      </w:r>
      <w:r>
        <w:rPr>
          <w:rFonts w:ascii="宋体" w:hAnsi="宋体"/>
          <w:color w:val="000000"/>
        </w:rPr>
        <w:t>是光合作用暗反应中的关键酶。科研人员将</w:t>
      </w:r>
      <w:r>
        <w:rPr>
          <w:rFonts w:eastAsia="Times New Roman" w:cs="Times New Roman"/>
          <w:color w:val="000000"/>
        </w:rPr>
        <w:t>Rubisco</w:t>
      </w:r>
      <w:r>
        <w:rPr>
          <w:rFonts w:ascii="宋体" w:hAnsi="宋体"/>
          <w:color w:val="000000"/>
        </w:rPr>
        <w:t>基因转入某作物的野生型（</w:t>
      </w:r>
      <w:r>
        <w:rPr>
          <w:rFonts w:eastAsia="Times New Roman" w:cs="Times New Roman"/>
          <w:color w:val="000000"/>
        </w:rPr>
        <w:t>WT</w:t>
      </w:r>
      <w:r>
        <w:rPr>
          <w:rFonts w:ascii="宋体" w:hAnsi="宋体"/>
          <w:color w:val="000000"/>
        </w:rPr>
        <w:t>）获得该酶含量增加的转基因品系（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），并做了相关研究。实验结果表明，这一改良提高了该作物的光合速率（如下图）和产量潜力。回答下列问题。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95750" cy="2667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Rubisco</w:t>
      </w:r>
      <w:r>
        <w:rPr>
          <w:rFonts w:ascii="宋体" w:hAnsi="宋体"/>
          <w:color w:val="000000"/>
        </w:rPr>
        <w:t>在叶绿体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中催化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与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结合。部分产物经过一系列反应形成（</w:t>
      </w:r>
      <w:r>
        <w:rPr>
          <w:rFonts w:eastAsia="Times New Roman" w:cs="Times New Roman"/>
          <w:color w:val="000000"/>
        </w:rPr>
        <w:t>CH</w:t>
      </w:r>
      <w:r>
        <w:rPr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  <w:r>
        <w:rPr>
          <w:rFonts w:ascii="宋体" w:hAnsi="宋体"/>
          <w:color w:val="000000"/>
        </w:rPr>
        <w:t>），这一过程中能量转换是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据图分析，当胞间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浓度高于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点时，曲线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与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重合是由于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不足。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点之前曲线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重合的最主要限制因素是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。胞间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浓度为</w:t>
      </w:r>
      <w:r>
        <w:rPr>
          <w:rFonts w:eastAsia="Times New Roman" w:cs="Times New Roman"/>
          <w:color w:val="000000"/>
        </w:rPr>
        <w:t>300μmol</w:t>
      </w:r>
      <w:r>
        <w:rPr>
          <w:rFonts w:ascii="宋体" w:hAnsi="宋体"/>
          <w:color w:val="000000"/>
        </w:rPr>
        <w:t>·</w:t>
      </w:r>
      <w:r>
        <w:rPr>
          <w:rFonts w:eastAsia="Times New Roman" w:cs="Times New Roman"/>
          <w:color w:val="000000"/>
        </w:rPr>
        <w:t>mol</w:t>
      </w:r>
      <w:r>
        <w:rPr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时，曲线</w:t>
      </w: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比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的光合速率高的具体原因是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研究发现，在饱和光照和适宜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浓度条件下，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植株固定</w:t>
      </w:r>
      <w:r>
        <w:rPr>
          <w:rFonts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生成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的速率比</w:t>
      </w:r>
      <w:r>
        <w:rPr>
          <w:rFonts w:eastAsia="Times New Roman" w:cs="Times New Roman"/>
          <w:color w:val="000000"/>
        </w:rPr>
        <w:t>WT</w:t>
      </w:r>
      <w:r>
        <w:rPr>
          <w:rFonts w:ascii="宋体" w:hAnsi="宋体"/>
          <w:color w:val="000000"/>
        </w:rPr>
        <w:t>更快。使用同位素标记的方法设计实验直接加以验证，简要写出实验思路。</w:t>
      </w:r>
      <w:r>
        <w:rPr>
          <w:color w:val="000000"/>
        </w:rPr>
        <w:t>________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躯干四肢疼痛信息需依次经脊髓背根神经节、脊髓、丘脑三级神经元，传递至大脑躯体感觉皮层产生痛觉（如图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）。回答下列问题。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19650" cy="27336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局部组织损伤时，会释放致痛物质（缓激肽等），使感受器产生电信号。该信号沿图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所示通路传至大脑躯体感觉皮层产生痛觉的过程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是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不是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）反射；该信号传递至下一级神经元时，需经过的信号转换是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；该信号也可以从传入神经纤维分叉处传向另一末梢分支，引起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物质等的释放，加强感受器活动，通过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正反馈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负反馈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）调节造成持续疼痛。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电针疗法是用带微弱电流的针灸针刺激特定穴位的镇痛疗法。背根神经节中表达的</w:t>
      </w:r>
      <w:r>
        <w:rPr>
          <w:rFonts w:eastAsia="Times New Roman" w:cs="Times New Roman"/>
          <w:color w:val="000000"/>
        </w:rPr>
        <w:t>P2X</w:t>
      </w:r>
      <w:r>
        <w:rPr>
          <w:rFonts w:ascii="宋体" w:hAnsi="宋体"/>
          <w:color w:val="000000"/>
        </w:rPr>
        <w:t>蛋白在痛觉信号传入中发挥重要作用，为探究电针疗法的镇痛效果及其机制，进行的动物实验处理（表）及结果（图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）如下：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5890"/>
        <w:gridCol w:w="1210"/>
        <w:gridCol w:w="1225"/>
      </w:tblGrid>
      <w:tr w:rsidR="00643730"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动物模型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分组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治疗处理</w:t>
            </w:r>
          </w:p>
        </w:tc>
      </w:tr>
      <w:tr w:rsidR="00643730">
        <w:tc>
          <w:tcPr>
            <w:tcW w:w="5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对照组：在正常大鼠足掌皮下注射生理盐水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不治疗</w:t>
            </w:r>
          </w:p>
        </w:tc>
      </w:tr>
      <w:tr w:rsidR="00643730">
        <w:tc>
          <w:tcPr>
            <w:tcW w:w="592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疼痛模型组：在正常大鼠足掌皮下注射等体积致痛物质诱导剂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不治疗</w:t>
            </w:r>
          </w:p>
        </w:tc>
      </w:tr>
      <w:tr w:rsidR="00643730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43730" w:rsidRDefault="006437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电针治疗</w:t>
            </w:r>
          </w:p>
        </w:tc>
      </w:tr>
    </w:tbl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19375" cy="21050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设置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组作为对照组的具体目的是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。疼痛阈值与痛觉敏感性呈负相关，由结果推测电针疗法可能通过抑制</w:t>
      </w:r>
      <w:r>
        <w:rPr>
          <w:rFonts w:eastAsia="Times New Roman" w:cs="Times New Roman"/>
          <w:color w:val="000000"/>
        </w:rPr>
        <w:t>P2X</w:t>
      </w:r>
      <w:r>
        <w:rPr>
          <w:rFonts w:ascii="宋体" w:hAnsi="宋体"/>
          <w:color w:val="000000"/>
        </w:rPr>
        <w:t>的表达发挥一定的镇痛作用，依据是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镇痛药物通常分为麻醉性（长期或超量使用易成瘾）和非麻醉性。从痛觉传入通路的角度分析，药物镇痛可能的作用机理有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和抑制突触信息传递。若某人患有反复发作的中轻度颈肩痛，以上镇痛疗法，不宜选择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粪甲虫是一类嗜粪昆虫的总称，其中金龟科和蜉金龟科粪甲虫以粪便为食，隐翅虫科则主要捕食粪便中滋生的某些小型无脊椎动物。大环内酯类兽药（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）可以有效治疗畜禽的呼吸道疾病，但其在粪便中的残留会显著影响一些粪甲虫的存活和后代孵化。回答下列问题。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草原生态系统粪甲虫种类繁多，体现了生物多样性中的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。金龟科和蜉金龟科粪甲虫能够快速分解草场中的粪便，促进土壤养分循环，体现了生物多样性的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价值。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用箭头连接下列草原生态系统中的关键因子，完成碳循环模型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48000" cy="14478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对使用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前后同一草场的粪甲虫进行调查，通常采用陷阱法取样，陷阱位置的选择应符合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原则；陷阱中新鲜牛粪的气味吸引粪甲虫，属于生态系统中的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信息传递。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分类统计诱捕到的粪甲虫，结果见下表。由表可知，</w:t>
      </w:r>
      <w:r>
        <w:rPr>
          <w:rFonts w:eastAsia="Times New Roman" w:cs="Times New Roman"/>
          <w:color w:val="000000"/>
        </w:rPr>
        <w:t>ML</w:t>
      </w:r>
      <w:r>
        <w:rPr>
          <w:rFonts w:ascii="宋体" w:hAnsi="宋体"/>
          <w:color w:val="000000"/>
        </w:rPr>
        <w:t>使用后粪甲虫数量明显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，优势科变为了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（填科名），这种变化将会使草场牛粪的清除速度下降，影响草场的生态功能。</w:t>
      </w:r>
    </w:p>
    <w:tbl>
      <w:tblPr>
        <w:tblW w:w="83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413"/>
        <w:gridCol w:w="1854"/>
        <w:gridCol w:w="1887"/>
        <w:gridCol w:w="1576"/>
        <w:gridCol w:w="1595"/>
      </w:tblGrid>
      <w:tr w:rsidR="00643730" w:rsidTr="0082210E">
        <w:trPr>
          <w:jc w:val="center"/>
        </w:trPr>
        <w:tc>
          <w:tcPr>
            <w:tcW w:w="22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粪甲虫种类</w:t>
            </w:r>
          </w:p>
        </w:tc>
        <w:tc>
          <w:tcPr>
            <w:tcW w:w="52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ML</w:t>
            </w:r>
            <w:r>
              <w:rPr>
                <w:rFonts w:ascii="宋体" w:hAnsi="宋体"/>
                <w:color w:val="000000"/>
              </w:rPr>
              <w:t>使用前</w:t>
            </w:r>
          </w:p>
        </w:tc>
        <w:tc>
          <w:tcPr>
            <w:tcW w:w="47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M</w:t>
            </w:r>
            <w:r>
              <w:rPr>
                <w:rFonts w:eastAsia="Times New Roman" w:cs="Times New Roman"/>
                <w:color w:val="000000"/>
              </w:rPr>
              <w:t>L</w:t>
            </w:r>
            <w:r>
              <w:rPr>
                <w:rFonts w:ascii="宋体" w:hAnsi="宋体"/>
                <w:color w:val="000000"/>
              </w:rPr>
              <w:t>使用后</w:t>
            </w:r>
          </w:p>
        </w:tc>
      </w:tr>
      <w:tr w:rsidR="00643730" w:rsidTr="0082210E">
        <w:trPr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43730" w:rsidRDefault="006437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平均数量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陷阱）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个体占比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平均数量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（只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陷阱）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个体占比</w:t>
            </w:r>
          </w:p>
        </w:tc>
      </w:tr>
      <w:tr w:rsidR="00643730" w:rsidTr="0082210E">
        <w:trPr>
          <w:jc w:val="center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蜉金龟科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121.7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62.3%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29.9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44.4%</w:t>
            </w:r>
          </w:p>
        </w:tc>
      </w:tr>
      <w:tr w:rsidR="00643730" w:rsidTr="0082210E">
        <w:trPr>
          <w:jc w:val="center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金龟科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73.7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37.7%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0.8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1.2%</w:t>
            </w:r>
          </w:p>
        </w:tc>
      </w:tr>
      <w:tr w:rsidR="00643730" w:rsidTr="0082210E">
        <w:trPr>
          <w:jc w:val="center"/>
        </w:trPr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隐翅虫科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2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36.6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54.4%</w:t>
            </w:r>
          </w:p>
        </w:tc>
      </w:tr>
    </w:tbl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为了维持草场畜牧业的可持续发展，降低兽药残留对当地粪甲虫的影响，可采用的方法包括</w:t>
      </w:r>
      <w:r>
        <w:rPr>
          <w:rFonts w:eastAsia="Times New Roman" w:cs="Times New Roman"/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研发低残留、易降解兽药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制定严格用药指南，避免过量使用兽药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引入新的粪甲虫种类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培育抗病力强的牲畜品种减少兽药使用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科学家系统解析了豌豆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对性状的遗传基础，以下为部分实验，回答下列问题。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将控制花腋生和顶生性状的基因定位于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号染色体上，用</w:t>
      </w:r>
      <w:r>
        <w:rPr>
          <w:rFonts w:eastAsia="Times New Roman" w:cs="Times New Roman"/>
          <w:color w:val="000000"/>
        </w:rPr>
        <w:t>F/f</w:t>
      </w:r>
      <w:r>
        <w:rPr>
          <w:rFonts w:ascii="宋体" w:hAnsi="宋体"/>
          <w:color w:val="000000"/>
        </w:rPr>
        <w:t>表示。在大多数腋生纯系与顶生纯系的杂交中，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腋生：顶生约为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，符合孟德尔的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定律。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然而，某顶生个体自交，子代个体中</w:t>
      </w:r>
      <w:r>
        <w:rPr>
          <w:rFonts w:eastAsia="Times New Roman" w:cs="Times New Roman"/>
          <w:color w:val="000000"/>
        </w:rPr>
        <w:t>20%</w:t>
      </w:r>
      <w:r>
        <w:rPr>
          <w:rFonts w:ascii="宋体" w:hAnsi="宋体"/>
          <w:color w:val="000000"/>
        </w:rPr>
        <w:t>以上表现为腋生。此现象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能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不能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）用基因突变来解释，原因是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定位于</w:t>
      </w:r>
      <w:r>
        <w:rPr>
          <w:rFonts w:eastAsia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号染色体上的基因</w:t>
      </w:r>
      <w:r>
        <w:rPr>
          <w:rFonts w:eastAsia="Times New Roman" w:cs="Times New Roman"/>
          <w:color w:val="000000"/>
        </w:rPr>
        <w:t>D/d</w:t>
      </w:r>
      <w:r>
        <w:rPr>
          <w:rFonts w:ascii="宋体" w:hAnsi="宋体"/>
          <w:color w:val="000000"/>
        </w:rPr>
        <w:t>可能与（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）中的现象有关。为了验证这个假设，用两种纯种豌豆杂交得到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自交产生的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表型和基因型的对应关系</w:t>
      </w:r>
      <w:r>
        <w:rPr>
          <w:rFonts w:ascii="宋体" w:hAnsi="宋体"/>
          <w:color w:val="000000"/>
        </w:rPr>
        <w:t>如下表，表格内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分别表示有、无相应基因型的个体。</w:t>
      </w:r>
    </w:p>
    <w:tbl>
      <w:tblPr>
        <w:tblW w:w="98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89"/>
        <w:gridCol w:w="1083"/>
        <w:gridCol w:w="976"/>
        <w:gridCol w:w="862"/>
        <w:gridCol w:w="1988"/>
        <w:gridCol w:w="1083"/>
        <w:gridCol w:w="976"/>
        <w:gridCol w:w="862"/>
      </w:tblGrid>
      <w:tr w:rsidR="00643730" w:rsidTr="0082210E">
        <w:trPr>
          <w:trHeight w:val="457"/>
        </w:trPr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lastRenderedPageBreak/>
              <w:t>腋生表型</w:t>
            </w:r>
          </w:p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顶生表型</w:t>
            </w:r>
          </w:p>
        </w:tc>
      </w:tr>
      <w:tr w:rsidR="00643730" w:rsidTr="0082210E">
        <w:trPr>
          <w:trHeight w:val="45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基因型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基因型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ff</w:t>
            </w:r>
          </w:p>
        </w:tc>
      </w:tr>
      <w:tr w:rsidR="00643730" w:rsidTr="0082210E">
        <w:trPr>
          <w:trHeight w:val="45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</w:tr>
      <w:tr w:rsidR="00643730" w:rsidTr="0082210E">
        <w:trPr>
          <w:trHeight w:val="45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</w:tr>
      <w:tr w:rsidR="00643730" w:rsidTr="0082210E">
        <w:trPr>
          <w:trHeight w:val="457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+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43730" w:rsidRDefault="0087094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-</w:t>
            </w:r>
          </w:p>
        </w:tc>
      </w:tr>
    </w:tbl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结果证实了上述假设，则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中腋生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顶生的理论比例为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，并可推出（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）中顶生亲本的基因型是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研究发现群体中控制黄色子叶的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基因有两种突变形式</w:t>
      </w:r>
      <w:r>
        <w:rPr>
          <w:rFonts w:eastAsia="Times New Roman" w:cs="Times New Roman"/>
          <w:color w:val="000000"/>
        </w:rPr>
        <w:t>y-1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y-2</w:t>
      </w:r>
      <w:r>
        <w:rPr>
          <w:rFonts w:ascii="宋体" w:hAnsi="宋体"/>
          <w:color w:val="000000"/>
        </w:rPr>
        <w:t>，基因结构示意图如下。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突变为</w:t>
      </w:r>
      <w:r>
        <w:rPr>
          <w:rFonts w:eastAsia="Times New Roman" w:cs="Times New Roman"/>
          <w:color w:val="000000"/>
        </w:rPr>
        <w:t>y-1</w:t>
      </w:r>
      <w:r>
        <w:rPr>
          <w:rFonts w:ascii="宋体" w:hAnsi="宋体"/>
          <w:color w:val="000000"/>
        </w:rPr>
        <w:t>导致其表达的蛋白功能丧失，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突变为</w:t>
      </w:r>
      <w:r>
        <w:rPr>
          <w:rFonts w:eastAsia="Times New Roman" w:cs="Times New Roman"/>
          <w:color w:val="000000"/>
        </w:rPr>
        <w:t>y-2</w:t>
      </w:r>
      <w:r>
        <w:rPr>
          <w:rFonts w:ascii="宋体" w:hAnsi="宋体"/>
          <w:color w:val="000000"/>
        </w:rPr>
        <w:t>导致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  <w:r>
        <w:rPr>
          <w:rFonts w:eastAsia="Times New Roman" w:cs="Times New Roman"/>
          <w:color w:val="000000"/>
        </w:rPr>
        <w:t>y-1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y-2</w:t>
      </w:r>
      <w:r>
        <w:rPr>
          <w:rFonts w:ascii="宋体" w:hAnsi="宋体"/>
          <w:color w:val="000000"/>
        </w:rPr>
        <w:t>纯合突变体都表现为绿色子叶。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486150" cy="1185928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1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在一次</w:t>
      </w:r>
      <w:r>
        <w:rPr>
          <w:rFonts w:eastAsia="Times New Roman" w:cs="Times New Roman"/>
          <w:color w:val="000000"/>
        </w:rPr>
        <w:t>y-1</w:t>
      </w:r>
      <w:r>
        <w:rPr>
          <w:rFonts w:ascii="宋体" w:hAnsi="宋体"/>
          <w:color w:val="000000"/>
        </w:rPr>
        <w:t>纯合体与</w:t>
      </w:r>
      <w:r>
        <w:rPr>
          <w:rFonts w:eastAsia="Times New Roman" w:cs="Times New Roman"/>
          <w:color w:val="000000"/>
        </w:rPr>
        <w:t>y-2</w:t>
      </w:r>
      <w:r>
        <w:rPr>
          <w:rFonts w:ascii="宋体" w:hAnsi="宋体"/>
          <w:color w:val="000000"/>
        </w:rPr>
        <w:t>纯合体杂交中，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全部为绿色子叶，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出现黄色子叶个体，这种现象可因减数分裂过程中发生染色体互换引起。图中哪一个位点发生断裂并交换能解释</w:t>
      </w:r>
      <w:bookmarkStart w:id="0" w:name="_GoBack"/>
      <w:bookmarkEnd w:id="0"/>
      <w:r>
        <w:rPr>
          <w:rFonts w:ascii="宋体" w:hAnsi="宋体"/>
          <w:color w:val="000000"/>
        </w:rPr>
        <w:t>上述现象？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</w:t>
      </w:r>
      <w:r>
        <w:rPr>
          <w:rFonts w:ascii="宋体" w:hAnsi="宋体"/>
          <w:color w:val="000000"/>
        </w:rPr>
        <w:t>“①”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“②”</w:t>
      </w:r>
      <w:r>
        <w:rPr>
          <w:rFonts w:ascii="宋体" w:hAnsi="宋体"/>
          <w:color w:val="000000"/>
        </w:rPr>
        <w:t>或</w:t>
      </w:r>
      <w:r>
        <w:rPr>
          <w:rFonts w:ascii="宋体" w:hAnsi="宋体"/>
          <w:color w:val="000000"/>
        </w:rPr>
        <w:t>“③”</w:t>
      </w:r>
      <w:r>
        <w:rPr>
          <w:rFonts w:ascii="宋体" w:hAnsi="宋体"/>
          <w:color w:val="000000"/>
        </w:rPr>
        <w:t>）。若此</w:t>
      </w:r>
      <w:r>
        <w:rPr>
          <w:rFonts w:eastAsia="Times New Roman" w:cs="Times New Roman"/>
          <w:color w:val="000000"/>
        </w:rPr>
        <w:t>F</w:t>
      </w:r>
      <w:r>
        <w:rPr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个体的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个花粉母细胞（精母细胞）在减数分裂中各发生一次此类交换，在减数分裂完成时会产生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个具有正常功能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基因的子细胞。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香树脂醇具有抗炎等功效，从植物中提取难度大、产率低。通过在酵母菌中</w:t>
      </w:r>
      <w:r>
        <w:rPr>
          <w:rFonts w:ascii="宋体" w:hAnsi="宋体"/>
          <w:color w:val="000000"/>
        </w:rPr>
        <w:t>表达外源香树脂醇合酶基因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，可高效生产香树脂醇。回答下列问题。</w:t>
      </w:r>
    </w:p>
    <w:p w:rsidR="00643730" w:rsidRDefault="0087094A" w:rsidP="0082210E">
      <w:pPr>
        <w:spacing w:line="360" w:lineRule="auto"/>
        <w:jc w:val="center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724400" cy="2632939"/>
            <wp:effectExtent l="0" t="0" r="0" b="0"/>
            <wp:docPr id="649808317" name="图片 649808317" descr="学科网(www.zxxk.com)--教育资源门户，提供试卷、教案、课件、论文、素材以及各类教学资源下载，还有大量而丰富的教学相关资讯！ t0+YoTKDo4f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808317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32407" cy="2637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可从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中查询基因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的编码序列，设计特定引物。如图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链为转录模板链，为保证基因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与质粒</w:t>
      </w:r>
      <w:r>
        <w:rPr>
          <w:rFonts w:eastAsia="Times New Roman" w:cs="Times New Roman"/>
          <w:color w:val="000000"/>
        </w:rPr>
        <w:t>pYL</w:t>
      </w:r>
      <w:r>
        <w:rPr>
          <w:rFonts w:ascii="宋体" w:hAnsi="宋体"/>
          <w:color w:val="000000"/>
        </w:rPr>
        <w:t>正确连接，需在引物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和引物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5</w:t>
      </w:r>
      <w:r>
        <w:rPr>
          <w:rFonts w:eastAsia="Times New Roman" w:cs="Times New Roman"/>
          <w:i/>
          <w:color w:val="000000"/>
        </w:rPr>
        <w:t>'</w:t>
      </w:r>
      <w:r>
        <w:rPr>
          <w:rFonts w:ascii="宋体" w:hAnsi="宋体"/>
          <w:color w:val="000000"/>
        </w:rPr>
        <w:t>端分别引入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限制酶识别序列。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扩增基因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，特异性酶切后，利用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连接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片段，构建重组质粒，大小约</w:t>
      </w:r>
      <w:r>
        <w:rPr>
          <w:rFonts w:eastAsia="Times New Roman" w:cs="Times New Roman"/>
          <w:color w:val="000000"/>
        </w:rPr>
        <w:t>9.5kb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kb</w:t>
      </w:r>
      <w:r>
        <w:rPr>
          <w:rFonts w:ascii="宋体" w:hAnsi="宋体"/>
          <w:color w:val="000000"/>
        </w:rPr>
        <w:t>为千碱基对），假设构建重组质粒前后，质粒</w:t>
      </w:r>
      <w:r>
        <w:rPr>
          <w:rFonts w:eastAsia="Times New Roman" w:cs="Times New Roman"/>
          <w:color w:val="000000"/>
        </w:rPr>
        <w:t>pYL</w:t>
      </w:r>
      <w:r>
        <w:rPr>
          <w:rFonts w:ascii="宋体" w:hAnsi="宋体"/>
          <w:color w:val="000000"/>
        </w:rPr>
        <w:t>对应部分大小基本不变。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进一步筛选构建的质粒，以</w:t>
      </w:r>
      <w:r>
        <w:rPr>
          <w:rFonts w:eastAsia="Times New Roman" w:cs="Times New Roman"/>
          <w:color w:val="000000"/>
        </w:rPr>
        <w:t>1-4</w:t>
      </w:r>
      <w:r>
        <w:rPr>
          <w:rFonts w:ascii="宋体" w:hAnsi="宋体"/>
          <w:color w:val="000000"/>
        </w:rPr>
        <w:t>号菌株中提取的质粒为模板，使用引物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和引物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进行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扩增，电泳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产物，结果如图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。在第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组的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反应中，使用无菌水代替实验组的模板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，目的是检验</w:t>
      </w:r>
      <w:r>
        <w:rPr>
          <w:rFonts w:eastAsia="Times New Roman" w:cs="Times New Roman"/>
          <w:color w:val="000000"/>
        </w:rPr>
        <w:t>PCR</w:t>
      </w:r>
      <w:r>
        <w:rPr>
          <w:rFonts w:ascii="宋体" w:hAnsi="宋体"/>
          <w:color w:val="000000"/>
        </w:rPr>
        <w:t>反应中是否有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的污染。初步判断实验组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（从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1~4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中选填）的质粒中成功插入了基因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，理由是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为提高香树脂醇合酶催化效率，将编码第</w:t>
      </w:r>
      <w:r>
        <w:rPr>
          <w:rFonts w:eastAsia="Times New Roman" w:cs="Times New Roman"/>
          <w:color w:val="000000"/>
        </w:rPr>
        <w:t>240</w:t>
      </w:r>
      <w:r>
        <w:rPr>
          <w:rFonts w:ascii="宋体" w:hAnsi="宋体"/>
          <w:color w:val="000000"/>
        </w:rPr>
        <w:t>位脯氨酸或第</w:t>
      </w:r>
      <w:r>
        <w:rPr>
          <w:rFonts w:eastAsia="Times New Roman" w:cs="Times New Roman"/>
          <w:color w:val="000000"/>
        </w:rPr>
        <w:t>243</w:t>
      </w:r>
      <w:r>
        <w:rPr>
          <w:rFonts w:ascii="宋体" w:hAnsi="宋体"/>
          <w:color w:val="000000"/>
        </w:rPr>
        <w:t>位苯丙氨酸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碱基序列替换为编码丙氨酸的碱基序列，丙氨酸的密码子有</w:t>
      </w:r>
      <w:r>
        <w:rPr>
          <w:rFonts w:eastAsia="Times New Roman" w:cs="Times New Roman"/>
          <w:color w:val="000000"/>
        </w:rPr>
        <w:t>GCA</w:t>
      </w:r>
      <w:r>
        <w:rPr>
          <w:rFonts w:ascii="宋体" w:hAnsi="宋体"/>
          <w:color w:val="000000"/>
        </w:rPr>
        <w:t>等。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是诱变第</w:t>
      </w:r>
      <w:r>
        <w:rPr>
          <w:rFonts w:eastAsia="Times New Roman" w:cs="Times New Roman"/>
          <w:color w:val="000000"/>
        </w:rPr>
        <w:t>240</w:t>
      </w:r>
      <w:r>
        <w:rPr>
          <w:rFonts w:ascii="宋体" w:hAnsi="宋体"/>
          <w:color w:val="000000"/>
        </w:rPr>
        <w:t>位脯氨酸编码序列的引物（</w:t>
      </w:r>
      <w:r>
        <w:rPr>
          <w:rFonts w:eastAsia="Times New Roman" w:cs="Times New Roman"/>
          <w:color w:val="000000"/>
        </w:rPr>
        <w:t>GCA</w:t>
      </w:r>
      <w:r>
        <w:rPr>
          <w:rFonts w:ascii="宋体" w:hAnsi="宋体"/>
          <w:color w:val="000000"/>
        </w:rPr>
        <w:t>为诱变序列），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其中一条是诱变第</w:t>
      </w:r>
      <w:r>
        <w:rPr>
          <w:rFonts w:eastAsia="Times New Roman" w:cs="Times New Roman"/>
          <w:color w:val="000000"/>
        </w:rPr>
        <w:t>243</w:t>
      </w:r>
      <w:r>
        <w:rPr>
          <w:rFonts w:ascii="宋体" w:hAnsi="宋体"/>
          <w:color w:val="000000"/>
        </w:rPr>
        <w:t>位苯丙氨酸的引物，其配对模板与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的配对模板相同。据此分析，丙氨酸的密码子除</w:t>
      </w:r>
      <w:r>
        <w:rPr>
          <w:rFonts w:eastAsia="Times New Roman" w:cs="Times New Roman"/>
          <w:color w:val="000000"/>
        </w:rPr>
        <w:t>GCA</w:t>
      </w:r>
      <w:r>
        <w:rPr>
          <w:rFonts w:ascii="宋体" w:hAnsi="宋体"/>
          <w:color w:val="000000"/>
        </w:rPr>
        <w:t>外，还有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eastAsia="Times New Roman" w:cs="Times New Roman"/>
          <w:i/>
          <w:color w:val="000000"/>
        </w:rPr>
        <w:t>'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GCA/CCC/GAG/TTC/TGG/CTG/TTT/CCC/TCT/TTC/TTC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-3</w:t>
      </w:r>
      <w:r>
        <w:rPr>
          <w:rFonts w:eastAsia="Times New Roman" w:cs="Times New Roman"/>
          <w:i/>
          <w:color w:val="000000"/>
        </w:rPr>
        <w:t>'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eastAsia="Times New Roman" w:cs="Times New Roman"/>
          <w:i/>
          <w:color w:val="000000"/>
        </w:rPr>
        <w:t>'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GAA/CTG/TGG/GAC/ACC/CTG/AAC/TAC/TTC/TCT/GAG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-3</w:t>
      </w:r>
      <w:r>
        <w:rPr>
          <w:rFonts w:eastAsia="Times New Roman" w:cs="Times New Roman"/>
          <w:i/>
          <w:color w:val="000000"/>
        </w:rPr>
        <w:t>'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eastAsia="Times New Roman" w:cs="Times New Roman"/>
          <w:i/>
          <w:color w:val="000000"/>
        </w:rPr>
        <w:t>'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GCC/TGG/CTG/TTT/CCC/TCT/TTC/TTC/CCC/TAC/CAC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-3</w:t>
      </w:r>
      <w:r>
        <w:rPr>
          <w:rFonts w:eastAsia="Times New Roman" w:cs="Times New Roman"/>
          <w:i/>
          <w:color w:val="000000"/>
        </w:rPr>
        <w:t>'</w:t>
      </w:r>
    </w:p>
    <w:p w:rsidR="00643730" w:rsidRDefault="0087094A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：</w:t>
      </w:r>
      <w:r>
        <w:rPr>
          <w:rFonts w:eastAsia="Times New Roman" w:cs="Times New Roman"/>
          <w:color w:val="000000"/>
        </w:rPr>
        <w:t>5</w:t>
      </w:r>
      <w:r>
        <w:rPr>
          <w:rFonts w:eastAsia="Times New Roman" w:cs="Times New Roman"/>
          <w:i/>
          <w:color w:val="000000"/>
        </w:rPr>
        <w:t>'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GAT/AAT/AAG/ATC/CGA/GAG</w:t>
      </w:r>
      <w:r>
        <w:rPr>
          <w:rFonts w:eastAsia="Times New Roman" w:cs="Times New Roman"/>
          <w:color w:val="000000"/>
        </w:rPr>
        <w:t>/AAG/GCC/ATG/CGA/AAG</w:t>
      </w:r>
      <w:r>
        <w:rPr>
          <w:rFonts w:ascii="宋体" w:hAnsi="宋体"/>
          <w:color w:val="000000"/>
        </w:rPr>
        <w:t>…</w:t>
      </w:r>
      <w:r>
        <w:rPr>
          <w:rFonts w:eastAsia="Times New Roman" w:cs="Times New Roman"/>
          <w:color w:val="000000"/>
        </w:rPr>
        <w:t>-3</w:t>
      </w:r>
      <w:r>
        <w:rPr>
          <w:rFonts w:eastAsia="Times New Roman" w:cs="Times New Roman"/>
          <w:i/>
          <w:color w:val="000000"/>
        </w:rPr>
        <w:t>'</w:t>
      </w:r>
    </w:p>
    <w:p w:rsidR="00643730" w:rsidRDefault="008709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进一步检测转基因酵母菌发酵得到的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含量并进行比较，可以选出最优的香树脂醇合酶基因的改造方案。</w:t>
      </w:r>
    </w:p>
    <w:sectPr w:rsidR="00643730" w:rsidSect="00C321EB">
      <w:headerReference w:type="default" r:id="rId27"/>
      <w:footerReference w:type="default" r:id="rId28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7094A" w:rsidRDefault="0087094A">
      <w:r>
        <w:separator/>
      </w:r>
    </w:p>
  </w:endnote>
  <w:endnote w:type="continuationSeparator" w:id="0">
    <w:p w:rsidR="0087094A" w:rsidRDefault="008709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278E" w:rsidRDefault="0087094A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82210E">
      <w:rPr>
        <w:noProof/>
      </w:rPr>
      <w:t>9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82210E">
      <w:rPr>
        <w:noProof/>
      </w:rPr>
      <w:t>11</w:t>
    </w:r>
    <w:r>
      <w:fldChar w:fldCharType="end"/>
    </w:r>
    <w:r>
      <w:t>页</w:t>
    </w:r>
  </w:p>
  <w:p w:rsidR="0090278E" w:rsidRDefault="0090278E">
    <w:pPr>
      <w:pStyle w:val="a4"/>
    </w:pPr>
  </w:p>
  <w:p w:rsidR="004151FC" w:rsidRDefault="0087094A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7094A" w:rsidRDefault="0087094A">
      <w:r>
        <w:separator/>
      </w:r>
    </w:p>
  </w:footnote>
  <w:footnote w:type="continuationSeparator" w:id="0">
    <w:p w:rsidR="0087094A" w:rsidRDefault="0087094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51FC" w:rsidRDefault="0087094A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B78C5C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EB42C25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30A822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CEAE21A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BE2424BC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915E6A18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A268DF80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E412372E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5CBAE3F6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43730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2210E"/>
    <w:rsid w:val="00832EC9"/>
    <w:rsid w:val="008634CD"/>
    <w:rsid w:val="0087094A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82210E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82210E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">
    <w:name w:val="页眉 Char"/>
    <w:basedOn w:val="a0"/>
    <w:link w:val="a3"/>
    <w:uiPriority w:val="99"/>
    <w:rsid w:val="003102DB"/>
    <w:rPr>
      <w:kern w:val="2"/>
      <w:sz w:val="18"/>
      <w:szCs w:val="24"/>
    </w:rPr>
  </w:style>
  <w:style w:type="paragraph" w:styleId="a5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6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7">
    <w:name w:val="List Paragraph"/>
    <w:basedOn w:val="a"/>
    <w:uiPriority w:val="99"/>
    <w:qFormat/>
    <w:rsid w:val="00EA0188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82210E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82210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7646D4-8944-462D-9569-6195F2DC1B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1091</Words>
  <Characters>6222</Characters>
  <Application>Microsoft Office Word</Application>
  <DocSecurity>0</DocSecurity>
  <Lines>51</Lines>
  <Paragraphs>14</Paragraphs>
  <ScaleCrop>false</ScaleCrop>
  <Company>学科网 www.zxxk.com</Company>
  <LinksUpToDate>false</LinksUpToDate>
  <CharactersWithSpaces>7299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3774170283106304</dc:description>
  <cp:lastModifiedBy>xb21cn</cp:lastModifiedBy>
  <cp:revision>10</cp:revision>
  <dcterms:created xsi:type="dcterms:W3CDTF">2025-06-18T10:50:00Z</dcterms:created>
  <dcterms:modified xsi:type="dcterms:W3CDTF">2025-06-18T09:08:00Z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