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1C59" w:rsidRDefault="00AA583C">
      <w:pPr>
        <w:spacing w:line="360" w:lineRule="auto"/>
        <w:ind w:left="315"/>
        <w:jc w:val="center"/>
        <w:rPr>
          <w:rFonts w:eastAsia="黑体"/>
          <w:sz w:val="30"/>
        </w:rPr>
      </w:pPr>
      <w:r>
        <w:rPr>
          <w:rFonts w:eastAsia="黑体"/>
          <w:noProof/>
          <w:sz w:val="30"/>
        </w:rPr>
        <w:drawing>
          <wp:anchor distT="0" distB="0" distL="114300" distR="114300" simplePos="0" relativeHeight="251658240" behindDoc="0" locked="0" layoutInCell="1" allowOverlap="1">
            <wp:simplePos x="0" y="0"/>
            <wp:positionH relativeFrom="page">
              <wp:posOffset>12509500</wp:posOffset>
            </wp:positionH>
            <wp:positionV relativeFrom="topMargin">
              <wp:posOffset>12560300</wp:posOffset>
            </wp:positionV>
            <wp:extent cx="495300" cy="304800"/>
            <wp:effectExtent l="0" t="0" r="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7"/>
                    <a:stretch>
                      <a:fillRect/>
                    </a:stretch>
                  </pic:blipFill>
                  <pic:spPr>
                    <a:xfrm>
                      <a:off x="0" y="0"/>
                      <a:ext cx="495300" cy="304800"/>
                    </a:xfrm>
                    <a:prstGeom prst="rect">
                      <a:avLst/>
                    </a:prstGeom>
                  </pic:spPr>
                </pic:pic>
              </a:graphicData>
            </a:graphic>
          </wp:anchor>
        </w:drawing>
      </w:r>
      <w:bookmarkStart w:id="0" w:name="OLE_LINK49"/>
      <w:bookmarkStart w:id="1" w:name="OLE_LINK48"/>
      <w:bookmarkStart w:id="2" w:name="OLE_LINK45"/>
      <w:bookmarkStart w:id="3" w:name="OLE_LINK46"/>
      <w:r>
        <w:rPr>
          <w:rFonts w:eastAsia="黑体"/>
          <w:sz w:val="30"/>
        </w:rPr>
        <w:t>备战</w:t>
      </w:r>
      <w:r>
        <w:rPr>
          <w:rFonts w:eastAsia="黑体"/>
          <w:sz w:val="30"/>
        </w:rPr>
        <w:t>2025</w:t>
      </w:r>
      <w:r>
        <w:rPr>
          <w:rFonts w:eastAsia="黑体"/>
          <w:sz w:val="30"/>
        </w:rPr>
        <w:t>年高考生物模拟卷（</w:t>
      </w:r>
      <w:r>
        <w:rPr>
          <w:rFonts w:eastAsia="黑体" w:hint="eastAsia"/>
          <w:sz w:val="30"/>
        </w:rPr>
        <w:t>湖南</w:t>
      </w:r>
      <w:r>
        <w:rPr>
          <w:rFonts w:eastAsia="黑体"/>
          <w:sz w:val="30"/>
        </w:rPr>
        <w:t>专用）</w:t>
      </w:r>
    </w:p>
    <w:p w:rsidR="00D31C59" w:rsidRDefault="00AA583C">
      <w:pPr>
        <w:spacing w:line="360" w:lineRule="auto"/>
        <w:ind w:left="315"/>
        <w:jc w:val="center"/>
        <w:rPr>
          <w:rFonts w:eastAsia="黑体"/>
          <w:sz w:val="36"/>
        </w:rPr>
      </w:pPr>
      <w:r>
        <w:rPr>
          <w:rFonts w:eastAsia="黑体"/>
          <w:sz w:val="30"/>
        </w:rPr>
        <w:t>黄金卷</w:t>
      </w:r>
    </w:p>
    <w:p w:rsidR="00D31C59" w:rsidRDefault="00AA583C">
      <w:pPr>
        <w:spacing w:line="360" w:lineRule="auto"/>
        <w:ind w:left="315"/>
        <w:jc w:val="center"/>
      </w:pPr>
      <w:r>
        <w:rPr>
          <w:rFonts w:eastAsia="楷体"/>
          <w:kern w:val="0"/>
        </w:rPr>
        <w:t>（考试时间：</w:t>
      </w:r>
      <w:r>
        <w:rPr>
          <w:rFonts w:eastAsia="楷体" w:hint="eastAsia"/>
          <w:kern w:val="0"/>
        </w:rPr>
        <w:t>75</w:t>
      </w:r>
      <w:r>
        <w:rPr>
          <w:rFonts w:eastAsia="楷体"/>
          <w:kern w:val="0"/>
        </w:rPr>
        <w:t>分钟</w:t>
      </w:r>
      <w:r>
        <w:rPr>
          <w:rFonts w:eastAsia="楷体"/>
          <w:kern w:val="0"/>
        </w:rPr>
        <w:t xml:space="preserve">  </w:t>
      </w:r>
      <w:r>
        <w:rPr>
          <w:rFonts w:eastAsia="楷体"/>
          <w:kern w:val="0"/>
        </w:rPr>
        <w:t>试卷满分：</w:t>
      </w:r>
      <w:r>
        <w:rPr>
          <w:rFonts w:eastAsia="楷体"/>
          <w:kern w:val="0"/>
        </w:rPr>
        <w:t>100</w:t>
      </w:r>
      <w:r>
        <w:rPr>
          <w:rFonts w:eastAsia="楷体"/>
          <w:kern w:val="0"/>
        </w:rPr>
        <w:t>分）</w:t>
      </w:r>
    </w:p>
    <w:p w:rsidR="00D31C59" w:rsidRDefault="00AA583C">
      <w:pPr>
        <w:spacing w:line="360" w:lineRule="auto"/>
        <w:ind w:left="315"/>
        <w:jc w:val="center"/>
        <w:rPr>
          <w:b/>
          <w:sz w:val="32"/>
          <w:szCs w:val="32"/>
        </w:rPr>
      </w:pPr>
      <w:r>
        <w:rPr>
          <w:b/>
          <w:sz w:val="32"/>
          <w:szCs w:val="32"/>
        </w:rPr>
        <w:t>第</w:t>
      </w:r>
      <w:r>
        <w:rPr>
          <w:b/>
          <w:sz w:val="32"/>
          <w:szCs w:val="32"/>
        </w:rPr>
        <w:t>I</w:t>
      </w:r>
      <w:r>
        <w:rPr>
          <w:b/>
          <w:sz w:val="32"/>
          <w:szCs w:val="32"/>
        </w:rPr>
        <w:t>卷（选择题）</w:t>
      </w:r>
    </w:p>
    <w:bookmarkEnd w:id="0"/>
    <w:bookmarkEnd w:id="1"/>
    <w:p w:rsidR="00D31C59" w:rsidRDefault="00AA583C">
      <w:pPr>
        <w:numPr>
          <w:ilvl w:val="0"/>
          <w:numId w:val="1"/>
        </w:numPr>
        <w:spacing w:line="360" w:lineRule="auto"/>
        <w:jc w:val="left"/>
        <w:rPr>
          <w:rFonts w:eastAsia="黑体"/>
        </w:rPr>
      </w:pPr>
      <w:r>
        <w:rPr>
          <w:rFonts w:eastAsia="黑体"/>
        </w:rPr>
        <w:t>选择题：本部分共</w:t>
      </w:r>
      <w:r>
        <w:rPr>
          <w:rFonts w:eastAsia="黑体" w:hint="eastAsia"/>
        </w:rPr>
        <w:t>12</w:t>
      </w:r>
      <w:r>
        <w:rPr>
          <w:rFonts w:eastAsia="黑体"/>
        </w:rPr>
        <w:t>题，每题</w:t>
      </w:r>
      <w:r>
        <w:rPr>
          <w:rFonts w:eastAsia="黑体"/>
        </w:rPr>
        <w:t>2</w:t>
      </w:r>
      <w:r>
        <w:rPr>
          <w:rFonts w:eastAsia="黑体"/>
        </w:rPr>
        <w:t>分，共</w:t>
      </w:r>
      <w:r>
        <w:rPr>
          <w:rFonts w:eastAsia="黑体" w:hint="eastAsia"/>
        </w:rPr>
        <w:t>24</w:t>
      </w:r>
      <w:r>
        <w:rPr>
          <w:rFonts w:eastAsia="黑体"/>
        </w:rPr>
        <w:t>分。在每题列出的四个选项中，选出最符合题目要求的一项。</w:t>
      </w:r>
      <w:bookmarkEnd w:id="2"/>
      <w:bookmarkEnd w:id="3"/>
    </w:p>
    <w:p w:rsidR="00D31C59" w:rsidRDefault="00AA583C">
      <w:pPr>
        <w:spacing w:line="360" w:lineRule="auto"/>
        <w:jc w:val="left"/>
        <w:textAlignment w:val="center"/>
      </w:pPr>
      <w:r>
        <w:t>1</w:t>
      </w:r>
      <w:r>
        <w:t>．细胞周期控制系统通过周期性激活随后关闭关键蛋白质来调控细胞周期，磷酸化反应和去磷酸化反应是细胞用来改变蛋白质活性开或关的最通用的方法之一。细胞周期控制系统的核心是细胞周期蛋白依赖性蛋白激酶（</w:t>
      </w:r>
      <w:r>
        <w:t>Cdk</w:t>
      </w:r>
      <w:r>
        <w:t>），它们的活性呈周期性升降。如图所示为推动细胞从</w:t>
      </w:r>
      <w:r>
        <w:t>G2</w:t>
      </w:r>
      <w:r>
        <w:t>期进入</w:t>
      </w:r>
      <w:r>
        <w:t>M</w:t>
      </w:r>
      <w:r>
        <w:t>期的复合物</w:t>
      </w:r>
      <w:r>
        <w:t>M-Cdk</w:t>
      </w:r>
      <w:r>
        <w:t>的活化过程。下列叙述不正确的是（</w:t>
      </w:r>
      <w:r>
        <w:rPr>
          <w:rFonts w:eastAsia="Times New Roman"/>
          <w:kern w:val="0"/>
          <w:sz w:val="24"/>
          <w:szCs w:val="24"/>
        </w:rPr>
        <w:t>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4516889" cy="1736679"/>
            <wp:effectExtent l="0" t="0" r="0" b="0"/>
            <wp:docPr id="100003" name="图片 100003" descr="@@@eef93381-80e4-4455-8cb4-54234cce2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f93381-80e4-4455-8cb4-54234cce2cc3"/>
                    <pic:cNvPicPr>
                      <a:picLocks noChangeAspect="1"/>
                    </pic:cNvPicPr>
                  </pic:nvPicPr>
                  <pic:blipFill>
                    <a:blip r:embed="rId8"/>
                    <a:stretch>
                      <a:fillRect/>
                    </a:stretch>
                  </pic:blipFill>
                  <pic:spPr>
                    <a:xfrm>
                      <a:off x="0" y="0"/>
                      <a:ext cx="4524702" cy="1739683"/>
                    </a:xfrm>
                    <a:prstGeom prst="rect">
                      <a:avLst/>
                    </a:prstGeom>
                  </pic:spPr>
                </pic:pic>
              </a:graphicData>
            </a:graphic>
          </wp:inline>
        </w:drawing>
      </w:r>
    </w:p>
    <w:p w:rsidR="00D31C59" w:rsidRDefault="00AA583C">
      <w:pPr>
        <w:spacing w:line="360" w:lineRule="auto"/>
        <w:ind w:left="300"/>
        <w:jc w:val="left"/>
        <w:textAlignment w:val="center"/>
      </w:pPr>
      <w:r>
        <w:t>A</w:t>
      </w:r>
      <w:r>
        <w:t>．不同激酶（</w:t>
      </w:r>
      <w:r>
        <w:t>Weel</w:t>
      </w:r>
      <w:r>
        <w:t>和</w:t>
      </w:r>
      <w:r>
        <w:t>Cak</w:t>
      </w:r>
      <w:r>
        <w:t>）使</w:t>
      </w:r>
      <w:r>
        <w:t>M-Cdk</w:t>
      </w:r>
      <w:r>
        <w:t>的不同位点发生磷酸化，体现了酶的专一性</w:t>
      </w:r>
    </w:p>
    <w:p w:rsidR="00D31C59" w:rsidRDefault="00AA583C">
      <w:pPr>
        <w:spacing w:line="360" w:lineRule="auto"/>
        <w:ind w:left="300"/>
        <w:jc w:val="left"/>
        <w:textAlignment w:val="center"/>
      </w:pPr>
      <w:r>
        <w:t>B</w:t>
      </w:r>
      <w:r>
        <w:t>．磷酸化的</w:t>
      </w:r>
      <w:r>
        <w:t>M-Cdk</w:t>
      </w:r>
      <w:r>
        <w:t>无活性，需要磷酸酶去除</w:t>
      </w:r>
      <w:r>
        <w:t>Cdk</w:t>
      </w:r>
      <w:r>
        <w:t>上任意一个磷酸基团才能活化</w:t>
      </w:r>
    </w:p>
    <w:p w:rsidR="00D31C59" w:rsidRDefault="00AA583C">
      <w:pPr>
        <w:spacing w:line="360" w:lineRule="auto"/>
        <w:ind w:left="300"/>
        <w:jc w:val="left"/>
        <w:textAlignment w:val="center"/>
      </w:pPr>
      <w:r>
        <w:t>C</w:t>
      </w:r>
      <w:r>
        <w:t>．活化的</w:t>
      </w:r>
      <w:r>
        <w:t>M-Cdk</w:t>
      </w:r>
      <w:r>
        <w:t>可激活更多的</w:t>
      </w:r>
      <w:r>
        <w:t>Cdc25</w:t>
      </w:r>
      <w:r>
        <w:t>，进一步促进</w:t>
      </w:r>
      <w:r>
        <w:t>M-Cdk</w:t>
      </w:r>
      <w:r>
        <w:t>的活化，这体现了正反馈调节</w:t>
      </w:r>
    </w:p>
    <w:p w:rsidR="00D31C59" w:rsidRDefault="00AA583C">
      <w:pPr>
        <w:spacing w:line="360" w:lineRule="auto"/>
        <w:ind w:left="300"/>
        <w:jc w:val="left"/>
        <w:textAlignment w:val="center"/>
      </w:pPr>
      <w:r>
        <w:t>D</w:t>
      </w:r>
      <w:r>
        <w:t>．推测活化的</w:t>
      </w:r>
      <w:r>
        <w:t>M-Cdk</w:t>
      </w:r>
      <w:r>
        <w:t>在进入下一个细胞周期之前会失活</w:t>
      </w:r>
    </w:p>
    <w:p w:rsidR="00D31C59" w:rsidRDefault="00AA583C">
      <w:pPr>
        <w:spacing w:line="360" w:lineRule="auto"/>
        <w:jc w:val="left"/>
        <w:textAlignment w:val="center"/>
      </w:pPr>
      <w:r>
        <w:t>2</w:t>
      </w:r>
      <w:r>
        <w:t>．胚轴是种子萌发后发育成连接茎和根的部分。由子叶到第</w:t>
      </w:r>
      <w:r>
        <w:t>1</w:t>
      </w:r>
      <w:r>
        <w:t>片真叶之间的部分，称为</w:t>
      </w:r>
      <w:r>
        <w:t>“</w:t>
      </w:r>
      <w:r>
        <w:t>上胚轴</w:t>
      </w:r>
      <w:r>
        <w:t>”</w:t>
      </w:r>
      <w:r>
        <w:t>；子叶与根之间的一部分，称为</w:t>
      </w:r>
      <w:r>
        <w:t>“</w:t>
      </w:r>
      <w:r>
        <w:t>下胚轴</w:t>
      </w:r>
      <w:r>
        <w:t>”</w:t>
      </w:r>
      <w:r>
        <w:t>。科学家研究了某植物光敏色素</w:t>
      </w:r>
      <w:r>
        <w:t>A</w:t>
      </w:r>
      <w:r>
        <w:t>缺失突变体和光敏色素</w:t>
      </w:r>
      <w:r>
        <w:t>B</w:t>
      </w:r>
      <w:r>
        <w:t>缺失突变体在不同光照条件时下胚轴生长状况的变化，结果如下图所示。</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230668" cy="1105577"/>
            <wp:effectExtent l="0" t="0" r="8255" b="0"/>
            <wp:docPr id="100005" name="图片 100005" descr="@@@a44b7bf0-0db3-44ec-9122-79e2bab8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44b7bf0-0db3-44ec-9122-79e2bab86914"/>
                    <pic:cNvPicPr>
                      <a:picLocks noChangeAspect="1"/>
                    </pic:cNvPicPr>
                  </pic:nvPicPr>
                  <pic:blipFill>
                    <a:blip r:embed="rId9"/>
                    <a:stretch>
                      <a:fillRect/>
                    </a:stretch>
                  </pic:blipFill>
                  <pic:spPr>
                    <a:xfrm>
                      <a:off x="0" y="0"/>
                      <a:ext cx="3272722" cy="1119968"/>
                    </a:xfrm>
                    <a:prstGeom prst="rect">
                      <a:avLst/>
                    </a:prstGeom>
                  </pic:spPr>
                </pic:pic>
              </a:graphicData>
            </a:graphic>
          </wp:inline>
        </w:drawing>
      </w:r>
    </w:p>
    <w:p w:rsidR="00D31C59" w:rsidRDefault="00AA583C">
      <w:pPr>
        <w:spacing w:line="360" w:lineRule="auto"/>
        <w:jc w:val="left"/>
        <w:textAlignment w:val="center"/>
      </w:pPr>
      <w:r>
        <w:t>下列叙述错误的是（</w:t>
      </w:r>
      <w:r>
        <w:rPr>
          <w:rFonts w:eastAsia="Times New Roman"/>
          <w:kern w:val="0"/>
          <w:sz w:val="24"/>
          <w:szCs w:val="24"/>
        </w:rPr>
        <w:t>    </w:t>
      </w:r>
      <w:r>
        <w:t>）</w:t>
      </w:r>
    </w:p>
    <w:p w:rsidR="00D31C59" w:rsidRDefault="00AA583C">
      <w:pPr>
        <w:spacing w:line="360" w:lineRule="auto"/>
        <w:ind w:left="300"/>
        <w:jc w:val="left"/>
        <w:textAlignment w:val="center"/>
      </w:pPr>
      <w:r>
        <w:t>A</w:t>
      </w:r>
      <w:r>
        <w:t>．不同光敏色素接受的光信号可能不同</w:t>
      </w:r>
    </w:p>
    <w:p w:rsidR="00D31C59" w:rsidRDefault="00AA583C">
      <w:pPr>
        <w:spacing w:line="360" w:lineRule="auto"/>
        <w:ind w:left="300"/>
        <w:jc w:val="left"/>
        <w:textAlignment w:val="center"/>
      </w:pPr>
      <w:r>
        <w:lastRenderedPageBreak/>
        <w:t>B</w:t>
      </w:r>
      <w:r>
        <w:t>．光敏色素</w:t>
      </w:r>
      <w:r>
        <w:t>A</w:t>
      </w:r>
      <w:r>
        <w:t>主要感受远红光刺激，光敏色素</w:t>
      </w:r>
      <w:r>
        <w:t>B</w:t>
      </w:r>
      <w:r>
        <w:t>主要感受红光或白光刺激</w:t>
      </w:r>
    </w:p>
    <w:p w:rsidR="00D31C59" w:rsidRDefault="00AA583C">
      <w:pPr>
        <w:spacing w:line="360" w:lineRule="auto"/>
        <w:ind w:left="300"/>
        <w:jc w:val="left"/>
        <w:textAlignment w:val="center"/>
      </w:pPr>
      <w:r>
        <w:t>C</w:t>
      </w:r>
      <w:r>
        <w:t>．光敏色素</w:t>
      </w:r>
      <w:r>
        <w:t>A</w:t>
      </w:r>
      <w:r>
        <w:t>、</w:t>
      </w:r>
      <w:r>
        <w:t>B</w:t>
      </w:r>
      <w:r>
        <w:t>的活性变化是因光刺激引起其空间结构改变导致</w:t>
      </w:r>
    </w:p>
    <w:p w:rsidR="00D31C59" w:rsidRDefault="00AA583C">
      <w:pPr>
        <w:spacing w:line="360" w:lineRule="auto"/>
        <w:ind w:left="300"/>
        <w:jc w:val="left"/>
        <w:textAlignment w:val="center"/>
      </w:pPr>
      <w:r>
        <w:t>D</w:t>
      </w:r>
      <w:r>
        <w:t>．光敏色素</w:t>
      </w:r>
      <w:r>
        <w:t>A</w:t>
      </w:r>
      <w:r>
        <w:t>、</w:t>
      </w:r>
      <w:r>
        <w:t>B</w:t>
      </w:r>
      <w:r>
        <w:t>被激活后均可促进该植物下胚轴的生长</w:t>
      </w:r>
    </w:p>
    <w:p w:rsidR="00D31C59" w:rsidRDefault="00AA583C">
      <w:pPr>
        <w:spacing w:line="360" w:lineRule="auto"/>
        <w:jc w:val="left"/>
        <w:textAlignment w:val="center"/>
      </w:pPr>
      <w:r>
        <w:rPr>
          <w:rFonts w:hint="eastAsia"/>
          <w:color w:val="FF0000"/>
        </w:rPr>
        <w:t xml:space="preserve"> </w:t>
      </w:r>
      <w:r>
        <w:t>3</w:t>
      </w:r>
      <w:r>
        <w:t>．</w:t>
      </w:r>
      <w:r>
        <w:t>“</w:t>
      </w:r>
      <w:r>
        <w:t>无废弃物农业</w:t>
      </w:r>
      <w:r>
        <w:t>”</w:t>
      </w:r>
      <w:r>
        <w:t>是生态工程最早的模式之一。如图是</w:t>
      </w:r>
      <w:r>
        <w:t>“</w:t>
      </w:r>
      <w:r>
        <w:t>无废弃物农业</w:t>
      </w:r>
      <w:r>
        <w:t>”</w:t>
      </w:r>
      <w:r>
        <w:t>中对有机废弃物进行处理的一种方案。下列有关叙述错误的是（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285833" cy="1100299"/>
            <wp:effectExtent l="0" t="0" r="635" b="5080"/>
            <wp:docPr id="100007" name="图片 100007" descr="@@@ff046758-b363-4904-988d-3654336eb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f046758-b363-4904-988d-3654336eb111"/>
                    <pic:cNvPicPr>
                      <a:picLocks noChangeAspect="1"/>
                    </pic:cNvPicPr>
                  </pic:nvPicPr>
                  <pic:blipFill>
                    <a:blip r:embed="rId10"/>
                    <a:stretch>
                      <a:fillRect/>
                    </a:stretch>
                  </pic:blipFill>
                  <pic:spPr>
                    <a:xfrm>
                      <a:off x="0" y="0"/>
                      <a:ext cx="2300053" cy="1107144"/>
                    </a:xfrm>
                    <a:prstGeom prst="rect">
                      <a:avLst/>
                    </a:prstGeom>
                  </pic:spPr>
                </pic:pic>
              </a:graphicData>
            </a:graphic>
          </wp:inline>
        </w:drawing>
      </w:r>
    </w:p>
    <w:p w:rsidR="00D31C59" w:rsidRDefault="00AA583C">
      <w:pPr>
        <w:spacing w:line="360" w:lineRule="auto"/>
        <w:ind w:left="300"/>
        <w:jc w:val="left"/>
        <w:textAlignment w:val="center"/>
      </w:pPr>
      <w:r>
        <w:t>A</w:t>
      </w:r>
      <w:r>
        <w:t>．从废弃物资源化、无害化角度分析，途径</w:t>
      </w:r>
      <w:r>
        <w:t>②③</w:t>
      </w:r>
      <w:r>
        <w:t>优于</w:t>
      </w:r>
      <w:r>
        <w:t>④</w:t>
      </w:r>
    </w:p>
    <w:p w:rsidR="00D31C59" w:rsidRDefault="00AA583C">
      <w:pPr>
        <w:spacing w:line="360" w:lineRule="auto"/>
        <w:ind w:left="300"/>
        <w:jc w:val="left"/>
        <w:textAlignment w:val="center"/>
      </w:pPr>
      <w:r>
        <w:t>B</w:t>
      </w:r>
      <w:r>
        <w:t>．图中有机肥料回田为农作物生长补充了无机盐和能量</w:t>
      </w:r>
    </w:p>
    <w:p w:rsidR="00D31C59" w:rsidRDefault="00AA583C">
      <w:pPr>
        <w:spacing w:line="360" w:lineRule="auto"/>
        <w:ind w:left="300"/>
        <w:jc w:val="left"/>
        <w:textAlignment w:val="center"/>
      </w:pPr>
      <w:r>
        <w:t>C</w:t>
      </w:r>
      <w:r>
        <w:t>．该模式遵循生态工程的循环、整体等基本原理</w:t>
      </w:r>
    </w:p>
    <w:p w:rsidR="00D31C59" w:rsidRDefault="00AA583C">
      <w:pPr>
        <w:spacing w:line="360" w:lineRule="auto"/>
        <w:ind w:left="300"/>
        <w:jc w:val="left"/>
        <w:textAlignment w:val="center"/>
      </w:pPr>
      <w:r>
        <w:t>D</w:t>
      </w:r>
      <w:r>
        <w:t>．蚯蚓、沼气池中的微生物等分解者能有效促进物质循环利用</w:t>
      </w:r>
    </w:p>
    <w:p w:rsidR="00D31C59" w:rsidRDefault="00AA583C">
      <w:pPr>
        <w:spacing w:line="360" w:lineRule="auto"/>
        <w:jc w:val="left"/>
        <w:textAlignment w:val="center"/>
      </w:pPr>
      <w:r>
        <w:t>4</w:t>
      </w:r>
      <w:r>
        <w:t>．头孢类药物可以抑制乙醛脱氢酶的活性，因此口服或注射了头孢类药物的人不能饮酒。乙醇主要在肝脏中代谢，过程如图所示。下列相关叙述正确的是（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371725" cy="257175"/>
            <wp:effectExtent l="0" t="0" r="3175" b="9525"/>
            <wp:docPr id="100009" name="图片 100009" descr="@@@9615428640df4edea7d4784aa3bc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615428640df4edea7d4784aa3bc5434"/>
                    <pic:cNvPicPr>
                      <a:picLocks noChangeAspect="1"/>
                    </pic:cNvPicPr>
                  </pic:nvPicPr>
                  <pic:blipFill>
                    <a:blip r:embed="rId11"/>
                    <a:stretch>
                      <a:fillRect/>
                    </a:stretch>
                  </pic:blipFill>
                  <pic:spPr>
                    <a:xfrm>
                      <a:off x="0" y="0"/>
                      <a:ext cx="2371725" cy="257175"/>
                    </a:xfrm>
                    <a:prstGeom prst="rect">
                      <a:avLst/>
                    </a:prstGeom>
                  </pic:spPr>
                </pic:pic>
              </a:graphicData>
            </a:graphic>
          </wp:inline>
        </w:drawing>
      </w:r>
    </w:p>
    <w:p w:rsidR="00D31C59" w:rsidRDefault="00AA583C">
      <w:pPr>
        <w:spacing w:line="360" w:lineRule="auto"/>
        <w:ind w:left="300"/>
        <w:jc w:val="left"/>
        <w:textAlignment w:val="center"/>
      </w:pPr>
      <w:r>
        <w:t>A</w:t>
      </w:r>
      <w:r>
        <w:t>．基因只能通过控制酶的合成控制细胞代谢进而控制生物的性状</w:t>
      </w:r>
    </w:p>
    <w:p w:rsidR="00D31C59" w:rsidRDefault="00AA583C">
      <w:pPr>
        <w:spacing w:line="360" w:lineRule="auto"/>
        <w:ind w:left="300"/>
        <w:jc w:val="left"/>
        <w:textAlignment w:val="center"/>
      </w:pPr>
      <w:r>
        <w:t>B</w:t>
      </w:r>
      <w:r>
        <w:t>．与口服不同，静脉注射的头孢类药物到达病灶需要经过内环境</w:t>
      </w:r>
    </w:p>
    <w:p w:rsidR="00D31C59" w:rsidRDefault="00AA583C">
      <w:pPr>
        <w:spacing w:line="360" w:lineRule="auto"/>
        <w:ind w:left="300"/>
        <w:jc w:val="left"/>
        <w:textAlignment w:val="center"/>
      </w:pPr>
      <w:r>
        <w:t>C</w:t>
      </w:r>
      <w:r>
        <w:t>．乙醇脱氢酶和乙醛脱氢酶均不属于内环境的物质</w:t>
      </w:r>
    </w:p>
    <w:p w:rsidR="00D31C59" w:rsidRDefault="00AA583C">
      <w:pPr>
        <w:spacing w:line="360" w:lineRule="auto"/>
        <w:ind w:left="300"/>
        <w:jc w:val="left"/>
        <w:textAlignment w:val="center"/>
      </w:pPr>
      <w:r>
        <w:t>D</w:t>
      </w:r>
      <w:r>
        <w:t>．乙醛脱氢酶突变的人饮酒后一定会出现乙醛中毒现象</w:t>
      </w:r>
    </w:p>
    <w:p w:rsidR="00D31C59" w:rsidRDefault="00AA583C">
      <w:pPr>
        <w:spacing w:line="360" w:lineRule="auto"/>
        <w:jc w:val="left"/>
        <w:textAlignment w:val="center"/>
      </w:pPr>
      <w:r>
        <w:t>5</w:t>
      </w:r>
      <w:r>
        <w:t>．</w:t>
      </w:r>
      <w:r>
        <w:t>“</w:t>
      </w:r>
      <w:r>
        <w:t>生命在于运动</w:t>
      </w:r>
      <w:r>
        <w:t>”</w:t>
      </w:r>
      <w:r>
        <w:t>，骨骼肌是运动系统的重要组成部分，运动强度会影响骨骼肌的结构和功能。运动强度越低，骨骼肌的耗氧量越少。如图所示为在不同强度体育运动时，骨骼肌细胞呼吸消耗的糖类和脂类的相对量。下列相关叙述正确的是（</w:t>
      </w:r>
      <w:r>
        <w:rPr>
          <w:rFonts w:eastAsia="Times New Roman"/>
          <w:kern w:val="0"/>
          <w:sz w:val="24"/>
          <w:szCs w:val="24"/>
        </w:rPr>
        <w:t>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315020" cy="1370430"/>
            <wp:effectExtent l="0" t="0" r="9525" b="1270"/>
            <wp:docPr id="100011" name="图片 100011" descr="@@@04a57d4b-f427-4597-87e1-78381fc58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4a57d4b-f427-4597-87e1-78381fc58500"/>
                    <pic:cNvPicPr>
                      <a:picLocks noChangeAspect="1"/>
                    </pic:cNvPicPr>
                  </pic:nvPicPr>
                  <pic:blipFill>
                    <a:blip r:embed="rId12"/>
                    <a:stretch>
                      <a:fillRect/>
                    </a:stretch>
                  </pic:blipFill>
                  <pic:spPr>
                    <a:xfrm>
                      <a:off x="0" y="0"/>
                      <a:ext cx="2321781" cy="1374433"/>
                    </a:xfrm>
                    <a:prstGeom prst="rect">
                      <a:avLst/>
                    </a:prstGeom>
                  </pic:spPr>
                </pic:pic>
              </a:graphicData>
            </a:graphic>
          </wp:inline>
        </w:drawing>
      </w:r>
    </w:p>
    <w:p w:rsidR="00D31C59" w:rsidRDefault="00AA583C">
      <w:pPr>
        <w:spacing w:line="360" w:lineRule="auto"/>
        <w:ind w:left="300"/>
        <w:jc w:val="left"/>
        <w:textAlignment w:val="center"/>
      </w:pPr>
      <w:r>
        <w:t>A</w:t>
      </w:r>
      <w:r>
        <w:t>．对于减脂人士来说，进行长时间高强度运动效果最好</w:t>
      </w:r>
    </w:p>
    <w:p w:rsidR="00D31C59" w:rsidRDefault="00AA583C">
      <w:pPr>
        <w:spacing w:line="360" w:lineRule="auto"/>
        <w:ind w:left="300"/>
        <w:jc w:val="left"/>
        <w:textAlignment w:val="center"/>
      </w:pPr>
      <w:r>
        <w:t>B</w:t>
      </w:r>
      <w:r>
        <w:t>．高强度运动，骨骼肌细胞释放的</w:t>
      </w:r>
      <w:r>
        <w:t>CO</w:t>
      </w:r>
      <w:r>
        <w:rPr>
          <w:vertAlign w:val="subscript"/>
        </w:rPr>
        <w:t>2</w:t>
      </w:r>
      <w:r>
        <w:t>量大于吸收的</w:t>
      </w:r>
      <w:r>
        <w:t>O</w:t>
      </w:r>
      <w:r>
        <w:rPr>
          <w:vertAlign w:val="subscript"/>
        </w:rPr>
        <w:t>2</w:t>
      </w:r>
      <w:r>
        <w:t>量</w:t>
      </w:r>
    </w:p>
    <w:p w:rsidR="00D31C59" w:rsidRDefault="00AA583C">
      <w:pPr>
        <w:spacing w:line="360" w:lineRule="auto"/>
        <w:ind w:left="300"/>
        <w:jc w:val="left"/>
        <w:textAlignment w:val="center"/>
      </w:pPr>
      <w:r>
        <w:lastRenderedPageBreak/>
        <w:t>C</w:t>
      </w:r>
      <w:r>
        <w:t>．不同条件下催化丙酮酸的酶不同，说明不同酶可作用于同一底物</w:t>
      </w:r>
    </w:p>
    <w:p w:rsidR="00D31C59" w:rsidRDefault="00AA583C">
      <w:pPr>
        <w:spacing w:line="360" w:lineRule="auto"/>
        <w:ind w:left="300"/>
        <w:jc w:val="left"/>
        <w:textAlignment w:val="center"/>
      </w:pPr>
      <w:r>
        <w:t>D</w:t>
      </w:r>
      <w:r>
        <w:t>．随着运动强度增大，为骨骼肌供能的脂肪酸、葡萄糖和脂肪越少</w:t>
      </w:r>
    </w:p>
    <w:p w:rsidR="00D31C59" w:rsidRDefault="00AA583C">
      <w:pPr>
        <w:spacing w:line="360" w:lineRule="auto"/>
        <w:jc w:val="left"/>
        <w:textAlignment w:val="center"/>
      </w:pPr>
      <w:r>
        <w:t>6</w:t>
      </w:r>
      <w:r>
        <w:t>．真核细胞的核基因分为编码区和非编码区，非编码区位于编码区两侧，其中编码区又由外显子和内含子间隔组成，外显子与两边的非编码区相连。如图所示为真核细胞基因的表达过程，下列说法错误的是（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110659" cy="1962484"/>
            <wp:effectExtent l="0" t="0" r="0" b="0"/>
            <wp:docPr id="100013" name="图片 100013" descr="@@@aaabe71e-b71f-4238-8c5f-774f1a0e5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aabe71e-b71f-4238-8c5f-774f1a0e5b87"/>
                    <pic:cNvPicPr>
                      <a:picLocks noChangeAspect="1"/>
                    </pic:cNvPicPr>
                  </pic:nvPicPr>
                  <pic:blipFill>
                    <a:blip r:embed="rId13"/>
                    <a:stretch>
                      <a:fillRect/>
                    </a:stretch>
                  </pic:blipFill>
                  <pic:spPr>
                    <a:xfrm>
                      <a:off x="0" y="0"/>
                      <a:ext cx="3118077" cy="1967164"/>
                    </a:xfrm>
                    <a:prstGeom prst="rect">
                      <a:avLst/>
                    </a:prstGeom>
                  </pic:spPr>
                </pic:pic>
              </a:graphicData>
            </a:graphic>
          </wp:inline>
        </w:drawing>
      </w:r>
    </w:p>
    <w:p w:rsidR="00D31C59" w:rsidRDefault="00AA583C">
      <w:pPr>
        <w:spacing w:line="360" w:lineRule="auto"/>
        <w:ind w:left="300"/>
        <w:jc w:val="left"/>
        <w:textAlignment w:val="center"/>
      </w:pPr>
      <w:r>
        <w:t>A</w:t>
      </w:r>
      <w:r>
        <w:t>．真核细胞的一个核基因中外显子数目比内含子数目多一个</w:t>
      </w:r>
    </w:p>
    <w:p w:rsidR="00D31C59" w:rsidRDefault="00AA583C">
      <w:pPr>
        <w:spacing w:line="360" w:lineRule="auto"/>
        <w:ind w:left="300"/>
        <w:jc w:val="left"/>
        <w:textAlignment w:val="center"/>
      </w:pPr>
      <w:r>
        <w:t>B</w:t>
      </w:r>
      <w:r>
        <w:t>．在基因转录时内含子和外显子片段都进行转录</w:t>
      </w:r>
    </w:p>
    <w:p w:rsidR="00D31C59" w:rsidRDefault="00AA583C">
      <w:pPr>
        <w:spacing w:line="360" w:lineRule="auto"/>
        <w:ind w:left="300"/>
        <w:jc w:val="left"/>
        <w:textAlignment w:val="center"/>
      </w:pPr>
      <w:r>
        <w:t>C</w:t>
      </w:r>
      <w:r>
        <w:t>．若基因内含子片段某一碱基对发生替换，则对翻译产物一般无影响</w:t>
      </w:r>
    </w:p>
    <w:p w:rsidR="00D31C59" w:rsidRDefault="00AA583C">
      <w:pPr>
        <w:spacing w:line="360" w:lineRule="auto"/>
        <w:ind w:left="300"/>
        <w:jc w:val="left"/>
        <w:textAlignment w:val="center"/>
      </w:pPr>
      <w:r>
        <w:t>D</w:t>
      </w:r>
      <w:r>
        <w:t>．若初级转录产物不进行剪切、连接等处理，由于</w:t>
      </w:r>
      <w:r>
        <w:t>RNA</w:t>
      </w:r>
      <w:r>
        <w:t>链的增长，则翻译的多肽链一定会变长</w:t>
      </w:r>
    </w:p>
    <w:p w:rsidR="00D31C59" w:rsidRDefault="00AA583C">
      <w:pPr>
        <w:spacing w:line="360" w:lineRule="auto"/>
        <w:jc w:val="left"/>
        <w:textAlignment w:val="center"/>
      </w:pPr>
      <w:r>
        <w:t>7</w:t>
      </w:r>
      <w:r>
        <w:t>．研究者在果蝇的肠吸收细胞中发现了一种新的细胞器，该细胞器具有多层膜，膜的结构与细胞膜相似。当饮食中磷酸盐不足时，该细胞器膜层数减少，最终被降解。下列推测错误的是（　　）</w:t>
      </w:r>
    </w:p>
    <w:p w:rsidR="00D31C59" w:rsidRDefault="00AA583C">
      <w:pPr>
        <w:spacing w:line="360" w:lineRule="auto"/>
        <w:ind w:left="300"/>
        <w:jc w:val="left"/>
        <w:textAlignment w:val="center"/>
      </w:pPr>
      <w:r>
        <w:t>A</w:t>
      </w:r>
      <w:r>
        <w:t>．该细胞器动态解体利于维持胞内磷酸盐稳态</w:t>
      </w:r>
    </w:p>
    <w:p w:rsidR="00D31C59" w:rsidRDefault="00AA583C">
      <w:pPr>
        <w:spacing w:line="360" w:lineRule="auto"/>
        <w:ind w:left="300"/>
        <w:jc w:val="left"/>
        <w:textAlignment w:val="center"/>
      </w:pPr>
      <w:r>
        <w:t>B</w:t>
      </w:r>
      <w:r>
        <w:t>．该结构释放的磷酸盐可用于合成</w:t>
      </w:r>
      <w:r>
        <w:t>ATP</w:t>
      </w:r>
    </w:p>
    <w:p w:rsidR="00D31C59" w:rsidRDefault="00AA583C">
      <w:pPr>
        <w:spacing w:line="360" w:lineRule="auto"/>
        <w:ind w:left="300"/>
        <w:jc w:val="left"/>
        <w:textAlignment w:val="center"/>
      </w:pPr>
      <w:r>
        <w:t>C</w:t>
      </w:r>
      <w:r>
        <w:t>．胞内磷酸盐充足时该细胞器膜层数可能增加</w:t>
      </w:r>
    </w:p>
    <w:p w:rsidR="00D31C59" w:rsidRDefault="00AA583C">
      <w:pPr>
        <w:spacing w:line="360" w:lineRule="auto"/>
        <w:ind w:left="300"/>
        <w:jc w:val="left"/>
        <w:textAlignment w:val="center"/>
      </w:pPr>
      <w:r>
        <w:t>D</w:t>
      </w:r>
      <w:r>
        <w:t>．细胞在分裂间期进行</w:t>
      </w:r>
      <w:r>
        <w:t>DNA</w:t>
      </w:r>
      <w:r>
        <w:t>复制需磷酸盐，而在分裂期则不需要</w:t>
      </w:r>
    </w:p>
    <w:p w:rsidR="00D31C59" w:rsidRDefault="00AA583C">
      <w:pPr>
        <w:spacing w:line="360" w:lineRule="auto"/>
        <w:jc w:val="left"/>
        <w:textAlignment w:val="center"/>
      </w:pPr>
      <w:r>
        <w:t>8</w:t>
      </w:r>
      <w:r>
        <w:t>．在食醋酿造的酒精发酵阶段，除了酒精含量显著增加外，乳酸、乙酸等有机酸含量也略有增加。检测不同阶段发酵醪液（加入了酒曲的原料和水）中细菌的相对丰度（数量占比），结果如图。</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673183" cy="1377775"/>
            <wp:effectExtent l="0" t="0" r="0" b="0"/>
            <wp:docPr id="100015" name="图片 100015" descr="@@@9139fdea-c58b-47d7-ab09-8a882d9c8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9139fdea-c58b-47d7-ab09-8a882d9c8626"/>
                    <pic:cNvPicPr>
                      <a:picLocks noChangeAspect="1"/>
                    </pic:cNvPicPr>
                  </pic:nvPicPr>
                  <pic:blipFill>
                    <a:blip r:embed="rId14"/>
                    <a:stretch>
                      <a:fillRect/>
                    </a:stretch>
                  </pic:blipFill>
                  <pic:spPr>
                    <a:xfrm>
                      <a:off x="0" y="0"/>
                      <a:ext cx="2687312" cy="1385057"/>
                    </a:xfrm>
                    <a:prstGeom prst="rect">
                      <a:avLst/>
                    </a:prstGeom>
                  </pic:spPr>
                </pic:pic>
              </a:graphicData>
            </a:graphic>
          </wp:inline>
        </w:drawing>
      </w:r>
    </w:p>
    <w:p w:rsidR="00D31C59" w:rsidRDefault="00AA583C">
      <w:pPr>
        <w:spacing w:line="360" w:lineRule="auto"/>
        <w:jc w:val="left"/>
        <w:textAlignment w:val="center"/>
      </w:pPr>
      <w:r>
        <w:t>相关说法</w:t>
      </w:r>
      <w:r>
        <w:rPr>
          <w:em w:val="underDot"/>
        </w:rPr>
        <w:t>错误</w:t>
      </w:r>
      <w:r>
        <w:t>的是（</w:t>
      </w:r>
      <w:r>
        <w:rPr>
          <w:rFonts w:eastAsia="Times New Roman"/>
          <w:kern w:val="0"/>
          <w:sz w:val="24"/>
          <w:szCs w:val="24"/>
        </w:rPr>
        <w:t>    </w:t>
      </w:r>
      <w:r>
        <w:t>）</w:t>
      </w:r>
    </w:p>
    <w:p w:rsidR="00D31C59" w:rsidRDefault="00AA583C">
      <w:pPr>
        <w:spacing w:line="360" w:lineRule="auto"/>
        <w:ind w:left="300"/>
        <w:jc w:val="left"/>
        <w:textAlignment w:val="center"/>
      </w:pPr>
      <w:r>
        <w:t>A</w:t>
      </w:r>
      <w:r>
        <w:t>．酒曲可为发酵提供产生酒精的微生物</w:t>
      </w:r>
      <w:r w:rsidR="008C28AD">
        <w:rPr>
          <w:rFonts w:hint="eastAsia"/>
        </w:rPr>
        <w:t xml:space="preserve"> </w:t>
      </w:r>
      <w:r w:rsidR="008C28AD">
        <w:t xml:space="preserve">         </w:t>
      </w:r>
      <w:r>
        <w:t>B</w:t>
      </w:r>
      <w:r>
        <w:t>．食醋酒精发酵阶段需提供无菌空气</w:t>
      </w:r>
    </w:p>
    <w:p w:rsidR="00D31C59" w:rsidRDefault="00AA583C">
      <w:pPr>
        <w:spacing w:line="360" w:lineRule="auto"/>
        <w:ind w:left="300"/>
        <w:jc w:val="left"/>
        <w:textAlignment w:val="center"/>
      </w:pPr>
      <w:r>
        <w:lastRenderedPageBreak/>
        <w:t>C</w:t>
      </w:r>
      <w:r>
        <w:t>．解淀粉乳杆菌具有较强的酒精耐受力</w:t>
      </w:r>
      <w:r w:rsidR="008C28AD">
        <w:rPr>
          <w:rFonts w:hint="eastAsia"/>
        </w:rPr>
        <w:t xml:space="preserve"> </w:t>
      </w:r>
      <w:r w:rsidR="008C28AD">
        <w:t xml:space="preserve">         </w:t>
      </w:r>
      <w:r>
        <w:t>D</w:t>
      </w:r>
      <w:r>
        <w:t>．细菌的丰度变化会影响食醋的风味</w:t>
      </w:r>
    </w:p>
    <w:p w:rsidR="00D31C59" w:rsidRDefault="00AA583C">
      <w:pPr>
        <w:spacing w:line="360" w:lineRule="auto"/>
        <w:jc w:val="left"/>
        <w:textAlignment w:val="center"/>
      </w:pPr>
      <w:r>
        <w:t>9</w:t>
      </w:r>
      <w:r>
        <w:t>．光质会影响植物的生长发育。有研究发现蓝光会诱导棉花幼苗下胚轴（子叶与根之间）产生向光性。以棉花幼苗为材料进行两组实验：实验一置于黑暗条件下，在下胚轴的一侧分别添加等量的清水、赤霉素（</w:t>
      </w:r>
      <w:r>
        <w:t>GA</w:t>
      </w:r>
      <w:r>
        <w:t>）、生长素（</w:t>
      </w:r>
      <w:r>
        <w:t>IAA</w:t>
      </w:r>
      <w:r>
        <w:t>）；实验二置于单侧蓝光下，在下胚轴向光一侧分别添加等量的清水、</w:t>
      </w:r>
      <w:r>
        <w:t>GA</w:t>
      </w:r>
      <w:r>
        <w:t>、</w:t>
      </w:r>
      <w:r>
        <w:t>IAA</w:t>
      </w:r>
      <w:r>
        <w:t>，结果如图所示。下列叙述错误的是（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515393" cy="1379173"/>
            <wp:effectExtent l="0" t="0" r="0" b="0"/>
            <wp:docPr id="100017" name="图片 100017" descr="@@@01f86f28-8bc4-406b-89ee-dce7a22d0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1f86f28-8bc4-406b-89ee-dce7a22d022f"/>
                    <pic:cNvPicPr>
                      <a:picLocks noChangeAspect="1"/>
                    </pic:cNvPicPr>
                  </pic:nvPicPr>
                  <pic:blipFill>
                    <a:blip r:embed="rId15"/>
                    <a:stretch>
                      <a:fillRect/>
                    </a:stretch>
                  </pic:blipFill>
                  <pic:spPr>
                    <a:xfrm>
                      <a:off x="0" y="0"/>
                      <a:ext cx="3528801" cy="1384433"/>
                    </a:xfrm>
                    <a:prstGeom prst="rect">
                      <a:avLst/>
                    </a:prstGeom>
                  </pic:spPr>
                </pic:pic>
              </a:graphicData>
            </a:graphic>
          </wp:inline>
        </w:drawing>
      </w:r>
    </w:p>
    <w:p w:rsidR="00D31C59" w:rsidRDefault="00AA583C">
      <w:pPr>
        <w:spacing w:line="360" w:lineRule="auto"/>
        <w:ind w:left="300"/>
        <w:jc w:val="left"/>
        <w:textAlignment w:val="center"/>
      </w:pPr>
      <w:r>
        <w:t>A</w:t>
      </w:r>
      <w:r>
        <w:t>．生长素发挥作用时需要与细胞内的受体特异性结合</w:t>
      </w:r>
    </w:p>
    <w:p w:rsidR="00D31C59" w:rsidRDefault="00AA583C">
      <w:pPr>
        <w:spacing w:line="360" w:lineRule="auto"/>
        <w:ind w:left="300"/>
        <w:jc w:val="left"/>
        <w:textAlignment w:val="center"/>
      </w:pPr>
      <w:r>
        <w:t>B</w:t>
      </w:r>
      <w:r>
        <w:t>．实验一可说明棉花幼苗下胚轴弯曲生长不是赤霉素分布不均匀导致的</w:t>
      </w:r>
    </w:p>
    <w:p w:rsidR="00D31C59" w:rsidRDefault="00AA583C">
      <w:pPr>
        <w:spacing w:line="360" w:lineRule="auto"/>
        <w:ind w:left="300"/>
        <w:jc w:val="left"/>
        <w:textAlignment w:val="center"/>
      </w:pPr>
      <w:r>
        <w:t>C</w:t>
      </w:r>
      <w:r>
        <w:t>．实验一结果说明低浓度生长素促进生长，高浓度生长素抑制生长</w:t>
      </w:r>
    </w:p>
    <w:p w:rsidR="00D31C59" w:rsidRDefault="00AA583C">
      <w:pPr>
        <w:spacing w:line="360" w:lineRule="auto"/>
        <w:ind w:left="300"/>
        <w:jc w:val="left"/>
        <w:textAlignment w:val="center"/>
      </w:pPr>
      <w:r>
        <w:t>D</w:t>
      </w:r>
      <w:r>
        <w:t>．实验二结果说明赤霉素会加剧蓝光引起的下胚轴弯曲程度</w:t>
      </w:r>
    </w:p>
    <w:p w:rsidR="00D31C59" w:rsidRDefault="00AA583C">
      <w:pPr>
        <w:spacing w:line="360" w:lineRule="auto"/>
        <w:jc w:val="left"/>
        <w:textAlignment w:val="center"/>
      </w:pPr>
      <w:r>
        <w:t>10</w:t>
      </w:r>
      <w:r>
        <w:t>．某男性的基因型为</w:t>
      </w:r>
      <w:r>
        <w:t>AABb</w:t>
      </w:r>
      <w:r>
        <w:t>，两对等位基因的相对位置如图</w:t>
      </w:r>
      <w:r>
        <w:t>1</w:t>
      </w:r>
      <w:r>
        <w:t>所示，图</w:t>
      </w:r>
      <w:r>
        <w:t>2~</w:t>
      </w:r>
      <w:r>
        <w:t>图</w:t>
      </w:r>
      <w:r>
        <w:t>5</w:t>
      </w:r>
      <w:r>
        <w:t>分别表示该男性产生的几种精细胞的基因型。不考虑除图示外的其他突变。下列相关叙述错误的是（</w:t>
      </w:r>
      <w:r>
        <w:rPr>
          <w:rFonts w:eastAsia="Times New Roman"/>
          <w:kern w:val="0"/>
          <w:sz w:val="24"/>
          <w:szCs w:val="24"/>
        </w:rPr>
        <w:t>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4072952" cy="938234"/>
            <wp:effectExtent l="0" t="0" r="3810" b="0"/>
            <wp:docPr id="100019" name="图片 100019" descr="@@@004b82a7-f453-42b2-9418-f3e9e92fe1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004b82a7-f453-42b2-9418-f3e9e92fe1b8"/>
                    <pic:cNvPicPr>
                      <a:picLocks noChangeAspect="1"/>
                    </pic:cNvPicPr>
                  </pic:nvPicPr>
                  <pic:blipFill>
                    <a:blip r:embed="rId16"/>
                    <a:stretch>
                      <a:fillRect/>
                    </a:stretch>
                  </pic:blipFill>
                  <pic:spPr>
                    <a:xfrm>
                      <a:off x="0" y="0"/>
                      <a:ext cx="4122762" cy="949708"/>
                    </a:xfrm>
                    <a:prstGeom prst="rect">
                      <a:avLst/>
                    </a:prstGeom>
                  </pic:spPr>
                </pic:pic>
              </a:graphicData>
            </a:graphic>
          </wp:inline>
        </w:drawing>
      </w:r>
    </w:p>
    <w:p w:rsidR="00D31C59" w:rsidRDefault="00AA583C">
      <w:pPr>
        <w:spacing w:line="360" w:lineRule="auto"/>
        <w:ind w:left="380"/>
        <w:jc w:val="left"/>
        <w:textAlignment w:val="center"/>
      </w:pPr>
      <w:r>
        <w:t>A</w:t>
      </w:r>
      <w:r>
        <w:t>．图</w:t>
      </w:r>
      <w:r>
        <w:t>2</w:t>
      </w:r>
      <w:r>
        <w:t>精细胞的出现是减数分裂</w:t>
      </w:r>
      <w:r>
        <w:t>Ⅰ</w:t>
      </w:r>
      <w:r>
        <w:t>前期发生交换的结果</w:t>
      </w:r>
    </w:p>
    <w:p w:rsidR="00D31C59" w:rsidRDefault="00AA583C">
      <w:pPr>
        <w:spacing w:line="360" w:lineRule="auto"/>
        <w:ind w:left="380"/>
        <w:jc w:val="left"/>
        <w:textAlignment w:val="center"/>
      </w:pPr>
      <w:r>
        <w:t>B</w:t>
      </w:r>
      <w:r>
        <w:t>．图</w:t>
      </w:r>
      <w:r>
        <w:t>3</w:t>
      </w:r>
      <w:r>
        <w:t>精细胞中因基因突变产生的</w:t>
      </w:r>
      <w:r>
        <w:t>a</w:t>
      </w:r>
      <w:r>
        <w:t>基因可能与</w:t>
      </w:r>
      <w:r>
        <w:t>A</w:t>
      </w:r>
      <w:r>
        <w:t>基因的碱基数目不同</w:t>
      </w:r>
    </w:p>
    <w:p w:rsidR="00D31C59" w:rsidRDefault="00AA583C">
      <w:pPr>
        <w:spacing w:line="360" w:lineRule="auto"/>
        <w:ind w:left="380"/>
        <w:jc w:val="left"/>
        <w:textAlignment w:val="center"/>
      </w:pPr>
      <w:r>
        <w:t>C</w:t>
      </w:r>
      <w:r>
        <w:t>．图</w:t>
      </w:r>
      <w:r>
        <w:t>4</w:t>
      </w:r>
      <w:r>
        <w:t>、图</w:t>
      </w:r>
      <w:r>
        <w:t>5</w:t>
      </w:r>
      <w:r>
        <w:t>精细胞的出现可能是发生了染色体结构变异</w:t>
      </w:r>
    </w:p>
    <w:p w:rsidR="00D31C59" w:rsidRDefault="00AA583C">
      <w:pPr>
        <w:spacing w:line="360" w:lineRule="auto"/>
        <w:ind w:left="380"/>
        <w:jc w:val="left"/>
        <w:textAlignment w:val="center"/>
      </w:pPr>
      <w:r>
        <w:t>D</w:t>
      </w:r>
      <w:r>
        <w:t>．产生图</w:t>
      </w:r>
      <w:r>
        <w:t>3</w:t>
      </w:r>
      <w:r>
        <w:t>精细胞的次级精母细胞同时产生的另一个精细胞的基因型可能为</w:t>
      </w:r>
      <w:r>
        <w:t>AB</w:t>
      </w:r>
    </w:p>
    <w:p w:rsidR="00D31C59" w:rsidRDefault="00AA583C">
      <w:pPr>
        <w:spacing w:line="360" w:lineRule="auto"/>
        <w:jc w:val="left"/>
        <w:textAlignment w:val="center"/>
      </w:pPr>
      <w:r>
        <w:t>11</w:t>
      </w:r>
      <w:r>
        <w:t>．单克隆抗体制备过程中所用的骨髓瘤细胞是一种基因缺陷型细胞，其合成核酸的途径能被氨基蝶呤阻断。现将从预先注射了某种抗原的小鼠脾脏中获得的</w:t>
      </w:r>
      <w:r>
        <w:t>B</w:t>
      </w:r>
      <w:r>
        <w:t>淋巴细胞与上述骨髓瘤细胞融合后，再加入含氨基蝶呤的培养液。将这些混合物分装于如图所示的细胞培养板的小孔中培养。下列相关叙述</w:t>
      </w:r>
      <w:r>
        <w:rPr>
          <w:em w:val="underDot"/>
        </w:rPr>
        <w:t>不正确</w:t>
      </w:r>
      <w:r>
        <w:t>的是</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1667376" cy="948838"/>
            <wp:effectExtent l="0" t="0" r="9525" b="3810"/>
            <wp:docPr id="100021" name="图片 100021" descr="@@@842b127d-469e-4b5a-9657-b6fa7f6ea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42b127d-469e-4b5a-9657-b6fa7f6ea135"/>
                    <pic:cNvPicPr>
                      <a:picLocks noChangeAspect="1"/>
                    </pic:cNvPicPr>
                  </pic:nvPicPr>
                  <pic:blipFill>
                    <a:blip r:embed="rId17"/>
                    <a:stretch>
                      <a:fillRect/>
                    </a:stretch>
                  </pic:blipFill>
                  <pic:spPr>
                    <a:xfrm>
                      <a:off x="0" y="0"/>
                      <a:ext cx="1705277" cy="970406"/>
                    </a:xfrm>
                    <a:prstGeom prst="rect">
                      <a:avLst/>
                    </a:prstGeom>
                  </pic:spPr>
                </pic:pic>
              </a:graphicData>
            </a:graphic>
          </wp:inline>
        </w:drawing>
      </w:r>
    </w:p>
    <w:p w:rsidR="00D31C59" w:rsidRDefault="00AA583C">
      <w:pPr>
        <w:spacing w:line="360" w:lineRule="auto"/>
        <w:ind w:left="380"/>
        <w:jc w:val="left"/>
        <w:textAlignment w:val="center"/>
      </w:pPr>
      <w:r>
        <w:lastRenderedPageBreak/>
        <w:t>A</w:t>
      </w:r>
      <w:r>
        <w:t>．制备单克隆抗体运用了动物细胞融合和动物细胞培养技术</w:t>
      </w:r>
    </w:p>
    <w:p w:rsidR="00D31C59" w:rsidRDefault="00AA583C">
      <w:pPr>
        <w:spacing w:line="360" w:lineRule="auto"/>
        <w:ind w:left="380"/>
        <w:jc w:val="left"/>
        <w:textAlignment w:val="center"/>
      </w:pPr>
      <w:r>
        <w:t>B</w:t>
      </w:r>
      <w:r>
        <w:t>．融合</w:t>
      </w:r>
      <w:r>
        <w:t>B</w:t>
      </w:r>
      <w:r>
        <w:t>淋巴细胞与骨髓瘤细胞时，培养液中可以加入</w:t>
      </w:r>
      <w:r>
        <w:t>PEG</w:t>
      </w:r>
    </w:p>
    <w:p w:rsidR="00D31C59" w:rsidRDefault="00AA583C">
      <w:pPr>
        <w:spacing w:line="360" w:lineRule="auto"/>
        <w:ind w:left="380"/>
        <w:jc w:val="left"/>
        <w:textAlignment w:val="center"/>
      </w:pPr>
      <w:r>
        <w:t>C</w:t>
      </w:r>
      <w:r>
        <w:t>．培养液中加入氨基蝶呤的目的是为了筛选杂交瘤细胞</w:t>
      </w:r>
    </w:p>
    <w:p w:rsidR="00D31C59" w:rsidRDefault="00AA583C">
      <w:pPr>
        <w:spacing w:line="360" w:lineRule="auto"/>
        <w:ind w:left="380"/>
        <w:jc w:val="left"/>
        <w:textAlignment w:val="center"/>
      </w:pPr>
      <w:r>
        <w:t>D</w:t>
      </w:r>
      <w:r>
        <w:t>．小孔中的细胞经过增殖后，均会产生所需特异性抗体</w:t>
      </w:r>
    </w:p>
    <w:p w:rsidR="00D31C59" w:rsidRDefault="00AA583C">
      <w:pPr>
        <w:spacing w:line="360" w:lineRule="auto"/>
        <w:jc w:val="left"/>
        <w:textAlignment w:val="center"/>
      </w:pPr>
      <w:r>
        <w:t>12</w:t>
      </w:r>
      <w:r>
        <w:t>．复制叉是真核生物</w:t>
      </w:r>
      <w:r>
        <w:t>DNA</w:t>
      </w:r>
      <w:r>
        <w:t>复制过程中的基本结构，复制叉由</w:t>
      </w:r>
      <w:r>
        <w:t>“Y”</w:t>
      </w:r>
      <w:r>
        <w:t>字形</w:t>
      </w:r>
      <w:r>
        <w:t>DNA</w:t>
      </w:r>
      <w:r>
        <w:t>以及结合在该处的与</w:t>
      </w:r>
      <w:r>
        <w:t>DNA</w:t>
      </w:r>
      <w:r>
        <w:t>复制有关的蛋白质组成，如图所示。</w:t>
      </w:r>
      <w:r>
        <w:t>DNA</w:t>
      </w:r>
      <w:r>
        <w:t>甲基化会引起染色质结构、</w:t>
      </w:r>
      <w:r>
        <w:t>DNA</w:t>
      </w:r>
      <w:r>
        <w:t>构象，</w:t>
      </w:r>
      <w:r>
        <w:t>DNA</w:t>
      </w:r>
      <w:r>
        <w:t>稳定性及</w:t>
      </w:r>
      <w:r>
        <w:t>DNA</w:t>
      </w:r>
      <w:r>
        <w:t>与蛋白质相互作用方式的改变。下列有关叙述正确的是（</w:t>
      </w:r>
      <w:r>
        <w:rPr>
          <w:rFonts w:eastAsia="Times New Roman"/>
          <w:kern w:val="0"/>
          <w:sz w:val="24"/>
          <w:szCs w:val="24"/>
        </w:rPr>
        <w:t>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053055" cy="897133"/>
            <wp:effectExtent l="0" t="0" r="4445" b="0"/>
            <wp:docPr id="100023" name="图片 100023" descr="@@@95a4636015704022a276cba87216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95a4636015704022a276cba87216ac52"/>
                    <pic:cNvPicPr>
                      <a:picLocks noChangeAspect="1"/>
                    </pic:cNvPicPr>
                  </pic:nvPicPr>
                  <pic:blipFill>
                    <a:blip r:embed="rId18"/>
                    <a:stretch>
                      <a:fillRect/>
                    </a:stretch>
                  </pic:blipFill>
                  <pic:spPr>
                    <a:xfrm>
                      <a:off x="0" y="0"/>
                      <a:ext cx="2065869" cy="902732"/>
                    </a:xfrm>
                    <a:prstGeom prst="rect">
                      <a:avLst/>
                    </a:prstGeom>
                  </pic:spPr>
                </pic:pic>
              </a:graphicData>
            </a:graphic>
          </wp:inline>
        </w:drawing>
      </w:r>
    </w:p>
    <w:p w:rsidR="00D31C59" w:rsidRDefault="00AA583C">
      <w:pPr>
        <w:spacing w:line="360" w:lineRule="auto"/>
        <w:ind w:left="380"/>
        <w:jc w:val="left"/>
        <w:textAlignment w:val="center"/>
      </w:pPr>
      <w:r>
        <w:t>A</w:t>
      </w:r>
      <w:r>
        <w:t>．与</w:t>
      </w:r>
      <w:r>
        <w:t>DNA</w:t>
      </w:r>
      <w:r>
        <w:t>复制有关的蛋白质包括解旋酶（</w:t>
      </w:r>
      <w:r>
        <w:t>B</w:t>
      </w:r>
      <w:r>
        <w:t>）和</w:t>
      </w:r>
      <w:r>
        <w:t>DNA</w:t>
      </w:r>
      <w:r>
        <w:t>聚合酶（</w:t>
      </w:r>
      <w:r>
        <w:t>A</w:t>
      </w:r>
      <w:r>
        <w:t>）等</w:t>
      </w:r>
    </w:p>
    <w:p w:rsidR="00D31C59" w:rsidRDefault="00AA583C">
      <w:pPr>
        <w:spacing w:line="360" w:lineRule="auto"/>
        <w:ind w:left="380"/>
        <w:jc w:val="left"/>
        <w:textAlignment w:val="center"/>
      </w:pPr>
      <w:r>
        <w:t>B</w:t>
      </w:r>
      <w:r>
        <w:t>．</w:t>
      </w:r>
      <w:r>
        <w:t>a</w:t>
      </w:r>
      <w:r>
        <w:t>、</w:t>
      </w:r>
      <w:r>
        <w:t>b</w:t>
      </w:r>
      <w:r>
        <w:t>为新合成的子链，会相互结合形成子代</w:t>
      </w:r>
      <w:r>
        <w:t>DNA</w:t>
      </w:r>
    </w:p>
    <w:p w:rsidR="00D31C59" w:rsidRDefault="00AA583C">
      <w:pPr>
        <w:spacing w:line="360" w:lineRule="auto"/>
        <w:ind w:left="380"/>
        <w:jc w:val="left"/>
        <w:textAlignment w:val="center"/>
      </w:pPr>
      <w:r>
        <w:t>C</w:t>
      </w:r>
      <w:r>
        <w:t>．被甲基化修饰后，基因的碱基序列不发生改变</w:t>
      </w:r>
    </w:p>
    <w:p w:rsidR="00D31C59" w:rsidRDefault="00AA583C">
      <w:pPr>
        <w:spacing w:line="360" w:lineRule="auto"/>
        <w:ind w:left="380"/>
        <w:jc w:val="left"/>
        <w:textAlignment w:val="center"/>
      </w:pPr>
      <w:r>
        <w:t>D</w:t>
      </w:r>
      <w:r>
        <w:t>．合成</w:t>
      </w:r>
      <w:r>
        <w:t>a</w:t>
      </w:r>
      <w:r>
        <w:t>、</w:t>
      </w:r>
      <w:r>
        <w:t>b</w:t>
      </w:r>
      <w:r>
        <w:t>子链的原料相同，即四种核糖核苷酸</w:t>
      </w:r>
    </w:p>
    <w:p w:rsidR="00D31C59" w:rsidRDefault="00AA583C">
      <w:pPr>
        <w:numPr>
          <w:ilvl w:val="0"/>
          <w:numId w:val="1"/>
        </w:numPr>
        <w:spacing w:line="360" w:lineRule="auto"/>
        <w:jc w:val="left"/>
        <w:rPr>
          <w:rFonts w:eastAsia="黑体"/>
        </w:rPr>
      </w:pPr>
      <w:r>
        <w:rPr>
          <w:rFonts w:eastAsia="黑体"/>
        </w:rPr>
        <w:t>选择题：本部分共</w:t>
      </w:r>
      <w:r>
        <w:rPr>
          <w:rFonts w:eastAsia="黑体" w:hint="eastAsia"/>
        </w:rPr>
        <w:t>4</w:t>
      </w:r>
      <w:r>
        <w:rPr>
          <w:rFonts w:eastAsia="黑体"/>
        </w:rPr>
        <w:t>题，每题</w:t>
      </w:r>
      <w:r>
        <w:rPr>
          <w:rFonts w:eastAsia="黑体" w:hint="eastAsia"/>
        </w:rPr>
        <w:t>4</w:t>
      </w:r>
      <w:r>
        <w:rPr>
          <w:rFonts w:eastAsia="黑体"/>
        </w:rPr>
        <w:t>分，共</w:t>
      </w:r>
      <w:r>
        <w:rPr>
          <w:rFonts w:eastAsia="黑体" w:hint="eastAsia"/>
        </w:rPr>
        <w:t>16</w:t>
      </w:r>
      <w:r>
        <w:rPr>
          <w:rFonts w:eastAsia="黑体"/>
        </w:rPr>
        <w:t>分。在每题列出的四个选项中，</w:t>
      </w:r>
      <w:r>
        <w:rPr>
          <w:rFonts w:eastAsia="黑体" w:hint="eastAsia"/>
        </w:rPr>
        <w:t>有一项或多项符合题目要求。全部选对得</w:t>
      </w:r>
      <w:r>
        <w:rPr>
          <w:rFonts w:eastAsia="黑体" w:hint="eastAsia"/>
        </w:rPr>
        <w:t>4</w:t>
      </w:r>
      <w:r>
        <w:rPr>
          <w:rFonts w:eastAsia="黑体" w:hint="eastAsia"/>
        </w:rPr>
        <w:t>分，选对但不全的得</w:t>
      </w:r>
      <w:r>
        <w:rPr>
          <w:rFonts w:eastAsia="黑体" w:hint="eastAsia"/>
        </w:rPr>
        <w:t>2</w:t>
      </w:r>
      <w:r>
        <w:rPr>
          <w:rFonts w:eastAsia="黑体" w:hint="eastAsia"/>
        </w:rPr>
        <w:t>分，有选错的得</w:t>
      </w:r>
      <w:r>
        <w:rPr>
          <w:rFonts w:eastAsia="黑体" w:hint="eastAsia"/>
        </w:rPr>
        <w:t>0</w:t>
      </w:r>
      <w:r>
        <w:rPr>
          <w:rFonts w:eastAsia="黑体" w:hint="eastAsia"/>
        </w:rPr>
        <w:t>分。</w:t>
      </w:r>
    </w:p>
    <w:p w:rsidR="00D31C59" w:rsidRDefault="00AA583C">
      <w:pPr>
        <w:spacing w:line="360" w:lineRule="auto"/>
        <w:jc w:val="left"/>
        <w:textAlignment w:val="center"/>
      </w:pPr>
      <w:r>
        <w:t>13</w:t>
      </w:r>
      <w:r>
        <w:t>．肌萎缩侧索硬化症（</w:t>
      </w:r>
      <w:r>
        <w:t>ALS</w:t>
      </w:r>
      <w:r>
        <w:t>）的发病机制如下：患者体内突触小体处的部分</w:t>
      </w:r>
      <w:r>
        <w:t>C5</w:t>
      </w:r>
      <w:r>
        <w:t>蛋白被激活后裂解为</w:t>
      </w:r>
      <w:r>
        <w:t>C5a</w:t>
      </w:r>
      <w:r>
        <w:t>和</w:t>
      </w:r>
      <w:r>
        <w:t>C5b</w:t>
      </w:r>
      <w:r>
        <w:t>。</w:t>
      </w:r>
      <w:r>
        <w:t>C5a</w:t>
      </w:r>
      <w:r>
        <w:t>可激活巨噬细胞攻击运动神经元而致其损伤；</w:t>
      </w:r>
      <w:r>
        <w:t>C5b</w:t>
      </w:r>
      <w:r>
        <w:t>参与形成的膜攻击复合物可引起</w:t>
      </w:r>
      <w:r>
        <w:t>Ca</w:t>
      </w:r>
      <w:r>
        <w:rPr>
          <w:vertAlign w:val="superscript"/>
        </w:rPr>
        <w:t>2+</w:t>
      </w:r>
      <w:r>
        <w:t>和</w:t>
      </w:r>
      <w:r>
        <w:t>Na</w:t>
      </w:r>
      <w:r>
        <w:rPr>
          <w:vertAlign w:val="superscript"/>
        </w:rPr>
        <w:t>+</w:t>
      </w:r>
      <w:r>
        <w:t>内流进入肌细胞，导致肌细胞破裂。下列正确的是（　　）</w:t>
      </w:r>
    </w:p>
    <w:p w:rsidR="00D31C59" w:rsidRDefault="00AA583C">
      <w:pPr>
        <w:spacing w:line="360" w:lineRule="auto"/>
        <w:ind w:left="380"/>
        <w:jc w:val="left"/>
        <w:textAlignment w:val="center"/>
      </w:pPr>
      <w:r>
        <w:t>A</w:t>
      </w:r>
      <w:r>
        <w:t>．运动神经元通过释放神经递质影响肌细胞的活动</w:t>
      </w:r>
    </w:p>
    <w:p w:rsidR="00D31C59" w:rsidRDefault="00AA583C">
      <w:pPr>
        <w:spacing w:line="360" w:lineRule="auto"/>
        <w:ind w:left="380"/>
        <w:jc w:val="left"/>
        <w:textAlignment w:val="center"/>
      </w:pPr>
      <w:r>
        <w:t>B</w:t>
      </w:r>
      <w:r>
        <w:t>．</w:t>
      </w:r>
      <w:r>
        <w:t>C5a</w:t>
      </w:r>
      <w:r>
        <w:t>、</w:t>
      </w:r>
      <w:r>
        <w:t>C5b</w:t>
      </w:r>
      <w:r>
        <w:t>作为神经递质影响神经元和肌细胞活性</w:t>
      </w:r>
    </w:p>
    <w:p w:rsidR="00D31C59" w:rsidRDefault="00AA583C">
      <w:pPr>
        <w:spacing w:line="360" w:lineRule="auto"/>
        <w:ind w:left="380"/>
        <w:jc w:val="left"/>
        <w:textAlignment w:val="center"/>
      </w:pPr>
      <w:r>
        <w:t>C</w:t>
      </w:r>
      <w:r>
        <w:t>．吞噬细胞攻击可能导致神经</w:t>
      </w:r>
      <w:r>
        <w:t>-</w:t>
      </w:r>
      <w:r>
        <w:t>肌细胞处的突触减少</w:t>
      </w:r>
    </w:p>
    <w:p w:rsidR="00D31C59" w:rsidRDefault="00AA583C">
      <w:pPr>
        <w:spacing w:line="360" w:lineRule="auto"/>
        <w:ind w:left="380"/>
        <w:jc w:val="left"/>
        <w:textAlignment w:val="center"/>
      </w:pPr>
      <w:r>
        <w:t>D</w:t>
      </w:r>
      <w:r>
        <w:t>．使用</w:t>
      </w:r>
      <w:r>
        <w:t>C5a</w:t>
      </w:r>
      <w:r>
        <w:t>的抗体可以延缓</w:t>
      </w:r>
      <w:r>
        <w:t>ALS</w:t>
      </w:r>
      <w:r>
        <w:t>的发生及病情加重</w:t>
      </w:r>
    </w:p>
    <w:p w:rsidR="00D31C59" w:rsidRDefault="00AA583C">
      <w:pPr>
        <w:spacing w:line="360" w:lineRule="auto"/>
        <w:jc w:val="left"/>
        <w:textAlignment w:val="center"/>
      </w:pPr>
      <w:r>
        <w:t>14</w:t>
      </w:r>
      <w:r>
        <w:t>．柠檬酸是一种广泛应用的食品酸度调节剂。如图为研究人员以红薯粉为原料经黑曲霉发酵生产柠檬酸的简要流程图。下列说法正确的是（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162190" cy="1064126"/>
            <wp:effectExtent l="0" t="0" r="635" b="3175"/>
            <wp:docPr id="100025" name="图片 100025" descr="@@@0eb8f00d-6de3-4936-9a75-d44534ef84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0eb8f00d-6de3-4936-9a75-d44534ef84ed"/>
                    <pic:cNvPicPr>
                      <a:picLocks noChangeAspect="1"/>
                    </pic:cNvPicPr>
                  </pic:nvPicPr>
                  <pic:blipFill>
                    <a:blip r:embed="rId19"/>
                    <a:stretch>
                      <a:fillRect/>
                    </a:stretch>
                  </pic:blipFill>
                  <pic:spPr>
                    <a:xfrm>
                      <a:off x="0" y="0"/>
                      <a:ext cx="3193309" cy="1074598"/>
                    </a:xfrm>
                    <a:prstGeom prst="rect">
                      <a:avLst/>
                    </a:prstGeom>
                  </pic:spPr>
                </pic:pic>
              </a:graphicData>
            </a:graphic>
          </wp:inline>
        </w:drawing>
      </w:r>
    </w:p>
    <w:p w:rsidR="00D31C59" w:rsidRDefault="00AA583C">
      <w:pPr>
        <w:spacing w:line="360" w:lineRule="auto"/>
        <w:ind w:left="380"/>
        <w:jc w:val="left"/>
        <w:textAlignment w:val="center"/>
      </w:pPr>
      <w:r>
        <w:lastRenderedPageBreak/>
        <w:t>A</w:t>
      </w:r>
      <w:r>
        <w:t>．黑曲霉与生产果醋和腐乳时所用主要微生物的代谢类型相同</w:t>
      </w:r>
    </w:p>
    <w:p w:rsidR="00D31C59" w:rsidRDefault="00AA583C">
      <w:pPr>
        <w:spacing w:line="360" w:lineRule="auto"/>
        <w:ind w:left="380"/>
        <w:jc w:val="left"/>
        <w:textAlignment w:val="center"/>
      </w:pPr>
      <w:r>
        <w:t>B</w:t>
      </w:r>
      <w:r>
        <w:t>．将菌种接种至</w:t>
      </w:r>
      <w:r>
        <w:t>A</w:t>
      </w:r>
      <w:r>
        <w:t>培养基时，浸泡在酒精中的涂布器使用前需在火焰上灼烧</w:t>
      </w:r>
    </w:p>
    <w:p w:rsidR="00D31C59" w:rsidRDefault="00AA583C">
      <w:pPr>
        <w:spacing w:line="360" w:lineRule="auto"/>
        <w:ind w:left="380"/>
        <w:jc w:val="left"/>
        <w:textAlignment w:val="center"/>
      </w:pPr>
      <w:r>
        <w:t>C</w:t>
      </w:r>
      <w:r>
        <w:t>．将菌种转接至</w:t>
      </w:r>
      <w:r>
        <w:t>B</w:t>
      </w:r>
      <w:r>
        <w:t>培养基的目的是增加黑曲霉菌种数量</w:t>
      </w:r>
    </w:p>
    <w:p w:rsidR="00D31C59" w:rsidRDefault="00AA583C">
      <w:pPr>
        <w:spacing w:line="360" w:lineRule="auto"/>
        <w:ind w:left="380"/>
        <w:jc w:val="left"/>
        <w:textAlignment w:val="center"/>
      </w:pPr>
      <w:r>
        <w:t>D</w:t>
      </w:r>
      <w:r>
        <w:t>．若发酵罐</w:t>
      </w:r>
      <w:r>
        <w:t>C</w:t>
      </w:r>
      <w:r>
        <w:t>中的原料为大豆粉，可利用黑曲霉水解大豆中的淀粉制成酱油</w:t>
      </w:r>
    </w:p>
    <w:p w:rsidR="00D31C59" w:rsidRDefault="00AA583C">
      <w:pPr>
        <w:spacing w:line="360" w:lineRule="auto"/>
        <w:jc w:val="left"/>
        <w:textAlignment w:val="center"/>
      </w:pPr>
      <w:r>
        <w:t>15</w:t>
      </w:r>
      <w:r>
        <w:t>．为了研究休牧对高山草甸群落的影响，研究人员进行了不同休牧时间和传统放牧的对照实验。如图表示不同实验条件下牧草生长旺季主要植物类群重要值（用来反映某一物种在群落中所占的地位和作用，即物种在群落中的优势地位）的关系。下列叙述错误的是（　　）</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468443" cy="1936600"/>
            <wp:effectExtent l="0" t="0" r="0" b="6985"/>
            <wp:docPr id="100027" name="图片 100027" descr="@@@cb362235-7a53-45fb-b20d-173bb88c95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b362235-7a53-45fb-b20d-173bb88c958c"/>
                    <pic:cNvPicPr>
                      <a:picLocks noChangeAspect="1"/>
                    </pic:cNvPicPr>
                  </pic:nvPicPr>
                  <pic:blipFill>
                    <a:blip r:embed="rId20"/>
                    <a:stretch>
                      <a:fillRect/>
                    </a:stretch>
                  </pic:blipFill>
                  <pic:spPr>
                    <a:xfrm>
                      <a:off x="0" y="0"/>
                      <a:ext cx="3482692" cy="1944556"/>
                    </a:xfrm>
                    <a:prstGeom prst="rect">
                      <a:avLst/>
                    </a:prstGeom>
                  </pic:spPr>
                </pic:pic>
              </a:graphicData>
            </a:graphic>
          </wp:inline>
        </w:drawing>
      </w:r>
    </w:p>
    <w:p w:rsidR="00D31C59" w:rsidRDefault="00AA583C">
      <w:pPr>
        <w:spacing w:line="360" w:lineRule="auto"/>
        <w:ind w:left="380"/>
        <w:jc w:val="left"/>
        <w:textAlignment w:val="center"/>
      </w:pPr>
      <w:r>
        <w:t>A</w:t>
      </w:r>
      <w:r>
        <w:t>．休牧改变了莎草科植物与阔叶型可食草的种间关系</w:t>
      </w:r>
    </w:p>
    <w:p w:rsidR="00D31C59" w:rsidRDefault="00AA583C">
      <w:pPr>
        <w:spacing w:line="360" w:lineRule="auto"/>
        <w:ind w:left="380"/>
        <w:jc w:val="left"/>
        <w:textAlignment w:val="center"/>
      </w:pPr>
      <w:r>
        <w:t>B</w:t>
      </w:r>
      <w:r>
        <w:t>．休牧使群落的优势物种由阔叶型可食草替换成了莎草科植物，属于群落的初生演替</w:t>
      </w:r>
    </w:p>
    <w:p w:rsidR="00D31C59" w:rsidRDefault="00AA583C">
      <w:pPr>
        <w:spacing w:line="360" w:lineRule="auto"/>
        <w:ind w:left="380"/>
        <w:jc w:val="left"/>
        <w:textAlignment w:val="center"/>
      </w:pPr>
      <w:r>
        <w:t>C</w:t>
      </w:r>
      <w:r>
        <w:t>．随着休牧时间的延长，毒害草的重要值下降，可能与其生长较缓慢有关</w:t>
      </w:r>
    </w:p>
    <w:p w:rsidR="00D31C59" w:rsidRDefault="00AA583C">
      <w:pPr>
        <w:spacing w:line="360" w:lineRule="auto"/>
        <w:ind w:left="380"/>
        <w:jc w:val="left"/>
        <w:textAlignment w:val="center"/>
      </w:pPr>
      <w:r>
        <w:t>D</w:t>
      </w:r>
      <w:r>
        <w:t>．休牧期间，高寒草甸群落的水平结构会发生改变，垂直结构不会发生改变</w:t>
      </w:r>
    </w:p>
    <w:p w:rsidR="00D31C59" w:rsidRDefault="00AA583C">
      <w:pPr>
        <w:spacing w:line="360" w:lineRule="auto"/>
        <w:jc w:val="left"/>
        <w:textAlignment w:val="center"/>
      </w:pPr>
      <w:r>
        <w:t>16</w:t>
      </w:r>
      <w:r>
        <w:t>．下图表示细胞呼吸在线粒体进行的部分过程，其中蛋白复合体</w:t>
      </w:r>
      <w:r>
        <w:t>Ⅰ</w:t>
      </w:r>
      <w:r>
        <w:t>、</w:t>
      </w:r>
      <w:r>
        <w:t>Ⅲ</w:t>
      </w:r>
      <w:r>
        <w:t>、</w:t>
      </w:r>
      <w:r>
        <w:t>Ⅳ</w:t>
      </w:r>
      <w:r>
        <w:t>等构成的电子传递链能传递</w:t>
      </w:r>
      <w:r>
        <w:t>e</w:t>
      </w:r>
      <w:r>
        <w:rPr>
          <w:vertAlign w:val="superscript"/>
        </w:rPr>
        <w:t>-</w:t>
      </w:r>
      <w:r>
        <w:t>。下列相关叙述错误的是（</w:t>
      </w:r>
      <w:r>
        <w:rPr>
          <w:rFonts w:eastAsia="Times New Roman"/>
          <w:kern w:val="0"/>
          <w:sz w:val="24"/>
          <w:szCs w:val="24"/>
        </w:rPr>
        <w:t>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2962275" cy="1514475"/>
            <wp:effectExtent l="0" t="0" r="9525" b="9525"/>
            <wp:docPr id="100029" name="图片 100029" descr="@@@bd2d3af0-a0f7-43f1-a53b-359bf40c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bd2d3af0-a0f7-43f1-a53b-359bf40c9418"/>
                    <pic:cNvPicPr>
                      <a:picLocks noChangeAspect="1"/>
                    </pic:cNvPicPr>
                  </pic:nvPicPr>
                  <pic:blipFill>
                    <a:blip r:embed="rId21"/>
                    <a:stretch>
                      <a:fillRect/>
                    </a:stretch>
                  </pic:blipFill>
                  <pic:spPr>
                    <a:xfrm>
                      <a:off x="0" y="0"/>
                      <a:ext cx="2962275" cy="1514475"/>
                    </a:xfrm>
                    <a:prstGeom prst="rect">
                      <a:avLst/>
                    </a:prstGeom>
                  </pic:spPr>
                </pic:pic>
              </a:graphicData>
            </a:graphic>
          </wp:inline>
        </w:drawing>
      </w:r>
    </w:p>
    <w:p w:rsidR="00D31C59" w:rsidRDefault="00AA583C">
      <w:pPr>
        <w:spacing w:line="360" w:lineRule="auto"/>
        <w:ind w:left="380"/>
        <w:jc w:val="left"/>
        <w:textAlignment w:val="center"/>
      </w:pPr>
      <w:r>
        <w:t>A</w:t>
      </w:r>
      <w:r>
        <w:t>．蛋白复合体</w:t>
      </w:r>
      <w:r>
        <w:t>Ⅳ</w:t>
      </w:r>
      <w:r>
        <w:t>处</w:t>
      </w:r>
      <w:r>
        <w:t>O</w:t>
      </w:r>
      <w:r>
        <w:rPr>
          <w:vertAlign w:val="subscript"/>
        </w:rPr>
        <w:t>2</w:t>
      </w:r>
      <w:r>
        <w:t>与</w:t>
      </w:r>
      <w:r>
        <w:t>H</w:t>
      </w:r>
      <w:r>
        <w:rPr>
          <w:vertAlign w:val="superscript"/>
        </w:rPr>
        <w:t>+</w:t>
      </w:r>
      <w:r>
        <w:t>结合生成水需要电子传递链传递来的</w:t>
      </w:r>
      <w:r>
        <w:t>e</w:t>
      </w:r>
      <w:r>
        <w:rPr>
          <w:vertAlign w:val="superscript"/>
        </w:rPr>
        <w:t>-</w:t>
      </w:r>
    </w:p>
    <w:p w:rsidR="00D31C59" w:rsidRDefault="00AA583C">
      <w:pPr>
        <w:spacing w:line="360" w:lineRule="auto"/>
        <w:ind w:left="380"/>
        <w:jc w:val="left"/>
        <w:textAlignment w:val="center"/>
      </w:pPr>
      <w:r>
        <w:t>B</w:t>
      </w:r>
      <w:r>
        <w:t>．当</w:t>
      </w:r>
      <w:r>
        <w:t>H</w:t>
      </w:r>
      <w:r>
        <w:rPr>
          <w:vertAlign w:val="superscript"/>
        </w:rPr>
        <w:t>+</w:t>
      </w:r>
      <w:r>
        <w:t>由线粒体基质被转运到线粒体膜间隙时，会推动</w:t>
      </w:r>
      <w:r>
        <w:t>ATP</w:t>
      </w:r>
      <w:r>
        <w:t>的合成</w:t>
      </w:r>
    </w:p>
    <w:p w:rsidR="00D31C59" w:rsidRDefault="00AA583C">
      <w:pPr>
        <w:spacing w:line="360" w:lineRule="auto"/>
        <w:ind w:left="380"/>
        <w:jc w:val="left"/>
        <w:textAlignment w:val="center"/>
      </w:pPr>
      <w:r>
        <w:t>C</w:t>
      </w:r>
      <w:r>
        <w:t>．丙酮酸从线粒体膜间隙进入线粒体基质与内膜两侧的</w:t>
      </w:r>
      <w:r>
        <w:t>H</w:t>
      </w:r>
      <w:r>
        <w:rPr>
          <w:vertAlign w:val="superscript"/>
        </w:rPr>
        <w:t>+</w:t>
      </w:r>
      <w:r>
        <w:t>浓度差有关</w:t>
      </w:r>
    </w:p>
    <w:p w:rsidR="00D31C59" w:rsidRDefault="00AA583C">
      <w:pPr>
        <w:spacing w:line="360" w:lineRule="auto"/>
        <w:ind w:left="380"/>
        <w:jc w:val="left"/>
        <w:textAlignment w:val="center"/>
      </w:pPr>
      <w:r>
        <w:t>D</w:t>
      </w:r>
      <w:r>
        <w:t>．皮肤破损较深时，破伤风芽孢杆菌大量繁殖是通过图示生理过程供能</w:t>
      </w:r>
    </w:p>
    <w:p w:rsidR="00D31C59" w:rsidRDefault="00AA583C">
      <w:pPr>
        <w:spacing w:line="360" w:lineRule="auto"/>
        <w:ind w:left="315"/>
        <w:jc w:val="center"/>
        <w:rPr>
          <w:rFonts w:eastAsia="黑体"/>
        </w:rPr>
      </w:pPr>
      <w:r>
        <w:rPr>
          <w:b/>
          <w:sz w:val="32"/>
          <w:szCs w:val="32"/>
        </w:rPr>
        <w:lastRenderedPageBreak/>
        <w:t>第</w:t>
      </w:r>
      <w:r>
        <w:rPr>
          <w:b/>
          <w:sz w:val="32"/>
          <w:szCs w:val="32"/>
        </w:rPr>
        <w:t>I</w:t>
      </w:r>
      <w:r>
        <w:rPr>
          <w:rFonts w:hint="eastAsia"/>
          <w:b/>
          <w:sz w:val="32"/>
          <w:szCs w:val="32"/>
        </w:rPr>
        <w:t>I</w:t>
      </w:r>
      <w:r>
        <w:rPr>
          <w:b/>
          <w:sz w:val="32"/>
          <w:szCs w:val="32"/>
        </w:rPr>
        <w:t>卷（</w:t>
      </w:r>
      <w:r>
        <w:rPr>
          <w:rFonts w:hint="eastAsia"/>
          <w:b/>
          <w:sz w:val="32"/>
          <w:szCs w:val="32"/>
        </w:rPr>
        <w:t>非</w:t>
      </w:r>
      <w:r>
        <w:rPr>
          <w:b/>
          <w:sz w:val="32"/>
          <w:szCs w:val="32"/>
        </w:rPr>
        <w:t>选择题）</w:t>
      </w:r>
    </w:p>
    <w:p w:rsidR="00D31C59" w:rsidRDefault="00AA583C">
      <w:pPr>
        <w:overflowPunct w:val="0"/>
        <w:adjustRightInd w:val="0"/>
        <w:spacing w:line="312" w:lineRule="auto"/>
        <w:jc w:val="left"/>
        <w:textAlignment w:val="center"/>
        <w:rPr>
          <w:rFonts w:eastAsia="黑体"/>
        </w:rPr>
      </w:pPr>
      <w:r>
        <w:rPr>
          <w:rFonts w:eastAsia="黑体" w:hint="eastAsia"/>
        </w:rPr>
        <w:t>三、</w:t>
      </w:r>
      <w:r>
        <w:rPr>
          <w:rFonts w:eastAsia="黑体"/>
        </w:rPr>
        <w:t>选择题：</w:t>
      </w:r>
      <w:r>
        <w:rPr>
          <w:rFonts w:eastAsia="黑体" w:hint="eastAsia"/>
        </w:rPr>
        <w:t>本题共</w:t>
      </w:r>
      <w:r>
        <w:rPr>
          <w:rFonts w:eastAsia="黑体" w:hint="eastAsia"/>
        </w:rPr>
        <w:t>5</w:t>
      </w:r>
      <w:r>
        <w:rPr>
          <w:rFonts w:eastAsia="黑体" w:hint="eastAsia"/>
        </w:rPr>
        <w:t>小题，</w:t>
      </w:r>
      <w:r>
        <w:rPr>
          <w:rFonts w:eastAsia="黑体" w:hint="eastAsia"/>
        </w:rPr>
        <w:t>60</w:t>
      </w:r>
      <w:r>
        <w:rPr>
          <w:rFonts w:eastAsia="黑体" w:hint="eastAsia"/>
        </w:rPr>
        <w:t>分。</w:t>
      </w:r>
    </w:p>
    <w:p w:rsidR="00D31C59" w:rsidRDefault="00AA583C">
      <w:pPr>
        <w:spacing w:line="360" w:lineRule="auto"/>
        <w:jc w:val="left"/>
        <w:textAlignment w:val="center"/>
      </w:pPr>
      <w:r>
        <w:t>17</w:t>
      </w:r>
      <w:r>
        <w:t>．</w:t>
      </w:r>
      <w:r>
        <w:rPr>
          <w:rFonts w:hint="eastAsia"/>
        </w:rPr>
        <w:t>（</w:t>
      </w:r>
      <w:r>
        <w:rPr>
          <w:rFonts w:hint="eastAsia"/>
        </w:rPr>
        <w:t>12</w:t>
      </w:r>
      <w:r>
        <w:rPr>
          <w:rFonts w:hint="eastAsia"/>
        </w:rPr>
        <w:t>分）</w:t>
      </w:r>
      <w:r>
        <w:t>对水稻</w:t>
      </w:r>
      <w:r>
        <w:t>H</w:t>
      </w:r>
      <w:r>
        <w:t>品种诱变，获得白叶枯病突变体</w:t>
      </w:r>
      <w:r>
        <w:t>N</w:t>
      </w:r>
      <w:r>
        <w:t>（基因型</w:t>
      </w:r>
      <w:r>
        <w:t>aa</w:t>
      </w:r>
      <w:r>
        <w:t>），它在没有病原菌侵染的情况下能自发形成类似白叶枯病表型。从突变体</w:t>
      </w:r>
      <w:r>
        <w:t>N</w:t>
      </w:r>
      <w:r>
        <w:t>中克隆出位于</w:t>
      </w:r>
      <w:r>
        <w:t>9</w:t>
      </w:r>
      <w:r>
        <w:t>号染色体上的关键基因</w:t>
      </w:r>
      <w:r>
        <w:t>a</w:t>
      </w:r>
      <w:r>
        <w:t>。回答下列问题：</w:t>
      </w:r>
    </w:p>
    <w:p w:rsidR="00D31C59" w:rsidRDefault="00AA583C">
      <w:pPr>
        <w:spacing w:line="360" w:lineRule="auto"/>
        <w:jc w:val="left"/>
        <w:textAlignment w:val="center"/>
      </w:pPr>
      <w:r>
        <w:t>(1)</w:t>
      </w:r>
      <w:r>
        <w:t>将突变体</w:t>
      </w:r>
      <w:r>
        <w:t>N</w:t>
      </w:r>
      <w:r>
        <w:t>与野生型水稻</w:t>
      </w:r>
      <w:r>
        <w:t>H1</w:t>
      </w:r>
      <w:r>
        <w:t>（表型正常，属于</w:t>
      </w:r>
      <w:r>
        <w:t>H</w:t>
      </w:r>
      <w:r>
        <w:t>品种，基因型</w:t>
      </w:r>
      <w:r>
        <w:t>AA</w:t>
      </w:r>
      <w:r>
        <w:t>）杂交，</w:t>
      </w:r>
      <w:r>
        <w:t>F₁</w:t>
      </w:r>
      <w:r>
        <w:t>表型均为野生型，</w:t>
      </w:r>
      <w:r>
        <w:t>F₁</w:t>
      </w:r>
      <w:r>
        <w:t>的基因型为</w:t>
      </w:r>
      <w:r>
        <w:rPr>
          <w:rFonts w:eastAsia="Times New Roman"/>
          <w:u w:val="single"/>
        </w:rPr>
        <w:t xml:space="preserve">           </w:t>
      </w:r>
      <w:r>
        <w:t>；</w:t>
      </w:r>
      <w:r>
        <w:t>F₁</w:t>
      </w:r>
      <w:r>
        <w:t>自交，</w:t>
      </w:r>
      <w:r>
        <w:t>F₂</w:t>
      </w:r>
      <w:r>
        <w:t>中野生型与突变体比例为</w:t>
      </w:r>
      <w:r>
        <w:rPr>
          <w:rFonts w:eastAsia="Times New Roman"/>
          <w:u w:val="single"/>
        </w:rPr>
        <w:t xml:space="preserve">           </w:t>
      </w:r>
      <w:r>
        <w:t>。</w:t>
      </w:r>
    </w:p>
    <w:p w:rsidR="00D31C59" w:rsidRDefault="00AA583C">
      <w:pPr>
        <w:spacing w:line="360" w:lineRule="auto"/>
        <w:jc w:val="left"/>
        <w:textAlignment w:val="center"/>
      </w:pPr>
      <w:r>
        <w:t>(2)</w:t>
      </w:r>
      <w:r>
        <w:t>分析水稻</w:t>
      </w:r>
      <w:r>
        <w:t>N</w:t>
      </w:r>
      <w:r>
        <w:t>的</w:t>
      </w:r>
      <w:r>
        <w:t>a</w:t>
      </w:r>
      <w:r>
        <w:t>基因和水稻</w:t>
      </w:r>
      <w:r>
        <w:t>H1</w:t>
      </w:r>
      <w:r>
        <w:t>的</w:t>
      </w:r>
      <w:r>
        <w:t>A</w:t>
      </w:r>
      <w:r>
        <w:t>基因完整序列发现，</w:t>
      </w:r>
      <w:r>
        <w:t>a</w:t>
      </w:r>
      <w:r>
        <w:t>基因是在</w:t>
      </w:r>
      <w:r>
        <w:t>A</w:t>
      </w:r>
      <w:r>
        <w:t>基因内部插入了一段</w:t>
      </w:r>
      <w:r>
        <w:t>654bp</w:t>
      </w:r>
      <w:r>
        <w:t>（</w:t>
      </w:r>
      <w:r>
        <w:t>bp</w:t>
      </w:r>
      <w:r>
        <w:t>表示碱基对）的</w:t>
      </w:r>
      <w:r>
        <w:t>DNA</w:t>
      </w:r>
      <w:r>
        <w:t>形成的，据此推断由水稻</w:t>
      </w:r>
      <w:r>
        <w:t>H</w:t>
      </w:r>
      <w:r>
        <w:t>品种诱变为突变体</w:t>
      </w:r>
      <w:r>
        <w:t>N</w:t>
      </w:r>
      <w:r>
        <w:t>的过程中肯定发生了</w:t>
      </w:r>
      <w:r>
        <w:rPr>
          <w:rFonts w:eastAsia="Times New Roman"/>
          <w:u w:val="single"/>
        </w:rPr>
        <w:t xml:space="preserve">           </w:t>
      </w:r>
      <w:r>
        <w:t>（填</w:t>
      </w:r>
      <w:r>
        <w:t>“</w:t>
      </w:r>
      <w:r>
        <w:t>基因突变</w:t>
      </w:r>
      <w:r>
        <w:t>”</w:t>
      </w:r>
      <w:r>
        <w:t>或</w:t>
      </w:r>
      <w:r>
        <w:t>“</w:t>
      </w:r>
      <w:r>
        <w:t>染色体结构变异</w:t>
      </w:r>
      <w:r>
        <w:t>”</w:t>
      </w:r>
      <w:r>
        <w:t>）。</w:t>
      </w:r>
    </w:p>
    <w:p w:rsidR="00D31C59" w:rsidRDefault="00AA583C">
      <w:pPr>
        <w:spacing w:line="360" w:lineRule="auto"/>
        <w:jc w:val="left"/>
        <w:textAlignment w:val="center"/>
      </w:pPr>
      <w:r>
        <w:t>(3)</w:t>
      </w:r>
      <w:r>
        <w:t>用该突变体</w:t>
      </w:r>
      <w:r>
        <w:t>N</w:t>
      </w:r>
      <w:r>
        <w:t>与另一野生型水稻</w:t>
      </w:r>
      <w:r>
        <w:t>H2</w:t>
      </w:r>
      <w:r>
        <w:t>（表型正常，属于</w:t>
      </w:r>
      <w:r>
        <w:t>H</w:t>
      </w:r>
      <w:r>
        <w:t>品种）杂交，</w:t>
      </w:r>
      <w:r>
        <w:t>F₁</w:t>
      </w:r>
      <w:r>
        <w:t>全为野生型，</w:t>
      </w:r>
      <w:r>
        <w:t>F₁</w:t>
      </w:r>
      <w:r>
        <w:t>自交，</w:t>
      </w:r>
      <w:r>
        <w:t>F₂</w:t>
      </w:r>
      <w:r>
        <w:t>野生型和突变体比例为</w:t>
      </w:r>
      <w:r>
        <w:t>15</w:t>
      </w:r>
      <w:r>
        <w:t>：</w:t>
      </w:r>
      <w:r>
        <w:t>1</w:t>
      </w:r>
      <w:r>
        <w:t>。据此推断该性状还与另一对基因有关，突变体</w:t>
      </w:r>
      <w:r>
        <w:t>N</w:t>
      </w:r>
      <w:r>
        <w:t>、野生型水稻</w:t>
      </w:r>
      <w:r>
        <w:t>H2</w:t>
      </w:r>
      <w:r>
        <w:t>的基因型依次为</w:t>
      </w:r>
      <w:r>
        <w:t>aabb</w:t>
      </w:r>
      <w:r>
        <w:t>、</w:t>
      </w:r>
      <w:r>
        <w:t>AABB</w:t>
      </w:r>
      <w:r>
        <w:t>，则野生型水稻</w:t>
      </w:r>
      <w:r>
        <w:t>H1</w:t>
      </w:r>
      <w:r>
        <w:t>的基因型为</w:t>
      </w:r>
      <w:r>
        <w:rPr>
          <w:rFonts w:eastAsia="Times New Roman"/>
          <w:u w:val="single"/>
        </w:rPr>
        <w:t xml:space="preserve">           </w:t>
      </w:r>
      <w:r>
        <w:t>。</w:t>
      </w:r>
    </w:p>
    <w:p w:rsidR="00D31C59" w:rsidRDefault="00AA583C" w:rsidP="008C28AD">
      <w:pPr>
        <w:spacing w:line="360" w:lineRule="auto"/>
        <w:jc w:val="center"/>
        <w:textAlignment w:val="center"/>
      </w:pPr>
      <w:r>
        <w:t>(4)</w:t>
      </w:r>
      <w:r>
        <w:t>比对水稻基因组发现，野生型水稻</w:t>
      </w:r>
      <w:r>
        <w:t>H2</w:t>
      </w:r>
      <w:r>
        <w:t>的</w:t>
      </w:r>
      <w:r>
        <w:t>3</w:t>
      </w:r>
      <w:r>
        <w:t>号染色体上也存在上述</w:t>
      </w:r>
      <w:r>
        <w:t>654bp</w:t>
      </w:r>
      <w:r>
        <w:t>序列。为探究突变体</w:t>
      </w:r>
      <w:r>
        <w:t>N</w:t>
      </w:r>
      <w:r>
        <w:t>产生的原因，根据野生型水稻</w:t>
      </w:r>
      <w:r>
        <w:t>H2</w:t>
      </w:r>
      <w:r>
        <w:t>的</w:t>
      </w:r>
      <w:r>
        <w:t>3</w:t>
      </w:r>
      <w:r>
        <w:t>号染色体和突变体水稻</w:t>
      </w:r>
      <w:r>
        <w:t>N</w:t>
      </w:r>
      <w:r>
        <w:t>的</w:t>
      </w:r>
      <w:r>
        <w:t>9</w:t>
      </w:r>
      <w:r>
        <w:t>号染色体上</w:t>
      </w:r>
      <w:r>
        <w:t>654bp</w:t>
      </w:r>
      <w:r>
        <w:t>序列外侧的</w:t>
      </w:r>
      <w:r>
        <w:t>DNA</w:t>
      </w:r>
      <w:r>
        <w:t>序列各设计一对引物（如图</w:t>
      </w:r>
      <w:r>
        <w:t>1</w:t>
      </w:r>
      <w:r>
        <w:t>所示），对野生型水稻</w:t>
      </w:r>
      <w:r>
        <w:t>H2</w:t>
      </w:r>
      <w:r>
        <w:t>、突变体水稻</w:t>
      </w:r>
      <w:r>
        <w:t>N</w:t>
      </w:r>
      <w:r>
        <w:t>基因组</w:t>
      </w:r>
      <w:r>
        <w:t>DNA</w:t>
      </w:r>
      <w:r>
        <w:t>进行</w:t>
      </w:r>
      <w:r>
        <w:t>PCR</w:t>
      </w:r>
      <w:r>
        <w:t>，产物的凝胶电泳结果如图</w:t>
      </w:r>
      <w:r>
        <w:t>2</w:t>
      </w:r>
      <w:r>
        <w:t>（</w:t>
      </w:r>
      <w:r>
        <w:t>M</w:t>
      </w:r>
      <w:r>
        <w:t>为标样，引物忽略不计）所示。</w:t>
      </w:r>
      <w:r>
        <w:rPr>
          <w:rFonts w:eastAsia="Times New Roman"/>
          <w:noProof/>
          <w:kern w:val="0"/>
          <w:sz w:val="24"/>
          <w:szCs w:val="24"/>
        </w:rPr>
        <w:drawing>
          <wp:inline distT="0" distB="0" distL="114300" distR="114300">
            <wp:extent cx="4372510" cy="1776527"/>
            <wp:effectExtent l="0" t="0" r="0" b="0"/>
            <wp:docPr id="100031" name="图片 100031" descr="@@@a2f8baf9-bc7c-479c-a6ff-14fd9ad24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a2f8baf9-bc7c-479c-a6ff-14fd9ad24d33"/>
                    <pic:cNvPicPr>
                      <a:picLocks noChangeAspect="1"/>
                    </pic:cNvPicPr>
                  </pic:nvPicPr>
                  <pic:blipFill>
                    <a:blip r:embed="rId22"/>
                    <a:stretch>
                      <a:fillRect/>
                    </a:stretch>
                  </pic:blipFill>
                  <pic:spPr>
                    <a:xfrm>
                      <a:off x="0" y="0"/>
                      <a:ext cx="4381934" cy="1780356"/>
                    </a:xfrm>
                    <a:prstGeom prst="rect">
                      <a:avLst/>
                    </a:prstGeom>
                  </pic:spPr>
                </pic:pic>
              </a:graphicData>
            </a:graphic>
          </wp:inline>
        </w:drawing>
      </w:r>
    </w:p>
    <w:p w:rsidR="00D31C59" w:rsidRDefault="00AA583C">
      <w:pPr>
        <w:spacing w:line="360" w:lineRule="auto"/>
        <w:jc w:val="left"/>
        <w:textAlignment w:val="center"/>
      </w:pPr>
      <w:r>
        <w:t>据图分析突变体水稻</w:t>
      </w:r>
      <w:r>
        <w:t>N</w:t>
      </w:r>
      <w:r>
        <w:t>产生的原因是</w:t>
      </w:r>
      <w:r>
        <w:rPr>
          <w:rFonts w:eastAsia="Times New Roman"/>
          <w:u w:val="single"/>
        </w:rPr>
        <w:t xml:space="preserve">           </w:t>
      </w:r>
      <w:r>
        <w:t>。</w:t>
      </w:r>
    </w:p>
    <w:p w:rsidR="00D31C59" w:rsidRDefault="00AA583C">
      <w:pPr>
        <w:spacing w:line="360" w:lineRule="auto"/>
        <w:jc w:val="left"/>
        <w:textAlignment w:val="center"/>
      </w:pPr>
      <w:r>
        <w:t>研究者据此猜测</w:t>
      </w:r>
      <w:r>
        <w:t>H2</w:t>
      </w:r>
      <w:r>
        <w:t>（</w:t>
      </w:r>
      <w:r>
        <w:t>AABB</w:t>
      </w:r>
      <w:r>
        <w:t>）诱变培育出</w:t>
      </w:r>
      <w:r>
        <w:t>N</w:t>
      </w:r>
      <w:r>
        <w:t>（</w:t>
      </w:r>
      <w:r>
        <w:t>aabb</w:t>
      </w:r>
      <w:r>
        <w:t>）的过程中，基因</w:t>
      </w:r>
      <w:r>
        <w:t>a</w:t>
      </w:r>
      <w:r>
        <w:t>与基因</w:t>
      </w:r>
      <w:r>
        <w:t>b</w:t>
      </w:r>
      <w:r>
        <w:t>同时产生且相关联，则野生型水稻</w:t>
      </w:r>
      <w:r>
        <w:t>H1</w:t>
      </w:r>
      <w:r>
        <w:t>形成的原因是</w:t>
      </w:r>
      <w:r>
        <w:rPr>
          <w:rFonts w:eastAsia="Times New Roman"/>
          <w:u w:val="single"/>
        </w:rPr>
        <w:t xml:space="preserve">                      </w:t>
      </w:r>
      <w:r>
        <w:t>。用上述两对引物对野生型水稻</w:t>
      </w:r>
      <w:r>
        <w:t>H1</w:t>
      </w:r>
      <w:r>
        <w:t>基因组</w:t>
      </w:r>
      <w:r>
        <w:t>DNA</w:t>
      </w:r>
      <w:r>
        <w:t>进行</w:t>
      </w:r>
      <w:r>
        <w:t>PCR</w:t>
      </w:r>
      <w:r>
        <w:t>，若产物电泳所得两个条带分别为</w:t>
      </w:r>
      <w:r>
        <w:rPr>
          <w:rFonts w:eastAsia="Times New Roman"/>
          <w:u w:val="single"/>
        </w:rPr>
        <w:t xml:space="preserve">           </w:t>
      </w:r>
      <w:r>
        <w:t>bp</w:t>
      </w:r>
      <w:r>
        <w:t>、</w:t>
      </w:r>
      <w:r>
        <w:rPr>
          <w:rFonts w:eastAsia="Times New Roman"/>
          <w:u w:val="single"/>
        </w:rPr>
        <w:t xml:space="preserve">           </w:t>
      </w:r>
      <w:r>
        <w:t>bp</w:t>
      </w:r>
      <w:r>
        <w:t>，则结果支持研究者的猜测。</w:t>
      </w:r>
    </w:p>
    <w:p w:rsidR="00D31C59" w:rsidRDefault="00AA583C">
      <w:pPr>
        <w:spacing w:line="360" w:lineRule="auto"/>
        <w:jc w:val="left"/>
        <w:textAlignment w:val="center"/>
      </w:pPr>
      <w:r>
        <w:t>18</w:t>
      </w:r>
      <w:r>
        <w:t>．</w:t>
      </w:r>
      <w:r>
        <w:rPr>
          <w:rFonts w:hint="eastAsia"/>
        </w:rPr>
        <w:t>（</w:t>
      </w:r>
      <w:r>
        <w:rPr>
          <w:rFonts w:hint="eastAsia"/>
        </w:rPr>
        <w:t>12</w:t>
      </w:r>
      <w:r>
        <w:rPr>
          <w:rFonts w:hint="eastAsia"/>
        </w:rPr>
        <w:t>分）</w:t>
      </w:r>
      <w:r>
        <w:t>糖皮质激素（</w:t>
      </w:r>
      <w:r>
        <w:t>GC</w:t>
      </w:r>
      <w:r>
        <w:t>）是肾上腺皮质分泌的类固醇激素，正常生理条件下，血液中糖皮质激素水平很稳定。应激和炎症标志物可刺激下丘脑</w:t>
      </w:r>
      <w:r>
        <w:t>—</w:t>
      </w:r>
      <w:r>
        <w:t>垂体</w:t>
      </w:r>
      <w:r>
        <w:t>—</w:t>
      </w:r>
      <w:r>
        <w:t>肾上腺轴（</w:t>
      </w:r>
      <w:r>
        <w:t>HPA</w:t>
      </w:r>
      <w:r>
        <w:t>）调控肾上腺皮质分泌</w:t>
      </w:r>
      <w:r>
        <w:t>GC</w:t>
      </w:r>
      <w:r>
        <w:t>，在应激反应中</w:t>
      </w:r>
      <w:r>
        <w:t>GC</w:t>
      </w:r>
      <w:r>
        <w:t>可通过抑制细胞因子释放、诱导细胞凋亡等途径，调控免疫系统的功能。回答下列问题。</w:t>
      </w:r>
    </w:p>
    <w:p w:rsidR="00D31C59" w:rsidRDefault="00AA583C" w:rsidP="008C28AD">
      <w:pPr>
        <w:spacing w:line="360" w:lineRule="auto"/>
        <w:jc w:val="center"/>
        <w:textAlignment w:val="center"/>
      </w:pPr>
      <w:r>
        <w:rPr>
          <w:rFonts w:eastAsia="Times New Roman"/>
          <w:noProof/>
          <w:kern w:val="0"/>
          <w:sz w:val="24"/>
          <w:szCs w:val="24"/>
        </w:rPr>
        <w:lastRenderedPageBreak/>
        <w:drawing>
          <wp:inline distT="0" distB="0" distL="114300" distR="114300">
            <wp:extent cx="4343400" cy="1466850"/>
            <wp:effectExtent l="0" t="0" r="0" b="6350"/>
            <wp:docPr id="100033" name="图片 100033" descr="@@@3d00f723a936425c9b122c303517d5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d00f723a936425c9b122c303517d5b0"/>
                    <pic:cNvPicPr>
                      <a:picLocks noChangeAspect="1"/>
                    </pic:cNvPicPr>
                  </pic:nvPicPr>
                  <pic:blipFill>
                    <a:blip r:embed="rId23"/>
                    <a:stretch>
                      <a:fillRect/>
                    </a:stretch>
                  </pic:blipFill>
                  <pic:spPr>
                    <a:xfrm>
                      <a:off x="0" y="0"/>
                      <a:ext cx="4343400" cy="1466850"/>
                    </a:xfrm>
                    <a:prstGeom prst="rect">
                      <a:avLst/>
                    </a:prstGeom>
                  </pic:spPr>
                </pic:pic>
              </a:graphicData>
            </a:graphic>
          </wp:inline>
        </w:drawing>
      </w:r>
    </w:p>
    <w:p w:rsidR="00D31C59" w:rsidRDefault="00AA583C">
      <w:pPr>
        <w:spacing w:line="360" w:lineRule="auto"/>
        <w:jc w:val="left"/>
        <w:textAlignment w:val="center"/>
      </w:pPr>
      <w:r>
        <w:t>(1)GC</w:t>
      </w:r>
      <w:r>
        <w:t>进入细胞的运输方式是</w:t>
      </w:r>
      <w:r>
        <w:rPr>
          <w:rFonts w:eastAsia="Times New Roman"/>
          <w:u w:val="single"/>
        </w:rPr>
        <w:t xml:space="preserve">      </w:t>
      </w:r>
      <w:r>
        <w:t>。正常情况下，</w:t>
      </w:r>
      <w:r>
        <w:t>GC</w:t>
      </w:r>
      <w:r>
        <w:t>含量的稳定，一方面是因为在</w:t>
      </w:r>
      <w:r>
        <w:t>GC</w:t>
      </w:r>
      <w:r>
        <w:t>的分泌过程中，既存在</w:t>
      </w:r>
      <w:r>
        <w:rPr>
          <w:rFonts w:eastAsia="Times New Roman"/>
          <w:u w:val="single"/>
        </w:rPr>
        <w:t xml:space="preserve">      </w:t>
      </w:r>
      <w:r>
        <w:t>调节以放大激素的调节效应，又存在反馈调节，调节</w:t>
      </w:r>
      <w:r>
        <w:t>GC</w:t>
      </w:r>
      <w:r>
        <w:t>的合成分泌；另一方面的原因是</w:t>
      </w:r>
      <w:r>
        <w:rPr>
          <w:rFonts w:eastAsia="Times New Roman"/>
          <w:u w:val="single"/>
        </w:rPr>
        <w:t xml:space="preserve">      </w:t>
      </w:r>
      <w:r>
        <w:t>。</w:t>
      </w:r>
    </w:p>
    <w:p w:rsidR="00D31C59" w:rsidRDefault="00AA583C">
      <w:pPr>
        <w:spacing w:line="360" w:lineRule="auto"/>
        <w:jc w:val="left"/>
        <w:textAlignment w:val="center"/>
      </w:pPr>
      <w:r>
        <w:t>(2)</w:t>
      </w:r>
      <w:r>
        <w:t>器官移植时，可使用适量</w:t>
      </w:r>
      <w:r>
        <w:t>GC</w:t>
      </w:r>
      <w:r>
        <w:t>以提高成功率，其原理是</w:t>
      </w:r>
      <w:r>
        <w:rPr>
          <w:rFonts w:eastAsia="Times New Roman"/>
          <w:u w:val="single"/>
        </w:rPr>
        <w:t xml:space="preserve">      </w:t>
      </w:r>
      <w:r>
        <w:t>。</w:t>
      </w:r>
    </w:p>
    <w:p w:rsidR="00D31C59" w:rsidRDefault="00AA583C">
      <w:pPr>
        <w:spacing w:line="360" w:lineRule="auto"/>
        <w:jc w:val="left"/>
        <w:textAlignment w:val="center"/>
      </w:pPr>
      <w:r>
        <w:t>(3)</w:t>
      </w:r>
      <w:r>
        <w:t>下图表示除</w:t>
      </w:r>
      <w:r>
        <w:t>HPA</w:t>
      </w:r>
      <w:r>
        <w:t>轴之外还存在另一种免疫调节机制：</w:t>
      </w:r>
      <w:r>
        <w:t>“</w:t>
      </w:r>
      <w:r>
        <w:t>脑</w:t>
      </w:r>
      <w:r>
        <w:t>—</w:t>
      </w:r>
      <w:r>
        <w:t>脾神经轴</w:t>
      </w:r>
      <w:r>
        <w:t>”</w:t>
      </w:r>
      <w:r>
        <w:t>，结合下图及体液免疫的过程分析，促进</w:t>
      </w:r>
      <w:r>
        <w:t>B</w:t>
      </w:r>
      <w:r>
        <w:t>细胞分化的两个刺激信号分子为</w:t>
      </w:r>
      <w:r>
        <w:rPr>
          <w:rFonts w:eastAsia="Times New Roman"/>
          <w:u w:val="single"/>
        </w:rPr>
        <w:t xml:space="preserve">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381375" cy="1200150"/>
            <wp:effectExtent l="0" t="0" r="9525" b="6350"/>
            <wp:docPr id="100035" name="图片 100035" descr="@@@2449ad524e0d43d68b988fdd9e710f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449ad524e0d43d68b988fdd9e710f57"/>
                    <pic:cNvPicPr>
                      <a:picLocks noChangeAspect="1"/>
                    </pic:cNvPicPr>
                  </pic:nvPicPr>
                  <pic:blipFill>
                    <a:blip r:embed="rId24"/>
                    <a:stretch>
                      <a:fillRect/>
                    </a:stretch>
                  </pic:blipFill>
                  <pic:spPr>
                    <a:xfrm>
                      <a:off x="0" y="0"/>
                      <a:ext cx="3381375" cy="1200150"/>
                    </a:xfrm>
                    <a:prstGeom prst="rect">
                      <a:avLst/>
                    </a:prstGeom>
                  </pic:spPr>
                </pic:pic>
              </a:graphicData>
            </a:graphic>
          </wp:inline>
        </w:drawing>
      </w:r>
    </w:p>
    <w:p w:rsidR="00D31C59" w:rsidRDefault="00AA583C">
      <w:pPr>
        <w:spacing w:line="360" w:lineRule="auto"/>
        <w:jc w:val="left"/>
        <w:textAlignment w:val="center"/>
      </w:pPr>
      <w:r>
        <w:t>(4)</w:t>
      </w:r>
      <w:r>
        <w:t>胆碱类受体是脑</w:t>
      </w:r>
      <w:r>
        <w:t>—</w:t>
      </w:r>
      <w:r>
        <w:t>脾神经通路中介导</w:t>
      </w:r>
      <w:r>
        <w:t>B</w:t>
      </w:r>
      <w:r>
        <w:t>细胞分化的重要结构。利用以下实验材料及用具，设计实验证明小鼠</w:t>
      </w:r>
      <w:r>
        <w:t>B</w:t>
      </w:r>
      <w:r>
        <w:t>细胞缺少胆碱类受体导致体液免疫能力降低。请完成下表。</w:t>
      </w:r>
    </w:p>
    <w:p w:rsidR="00D31C59" w:rsidRDefault="00AA583C">
      <w:pPr>
        <w:spacing w:line="360" w:lineRule="auto"/>
        <w:jc w:val="left"/>
        <w:textAlignment w:val="center"/>
      </w:pPr>
      <w:r>
        <w:t>实验材料及用具：生理状况相同的小鼠若干只、正常造血干细胞、异常（不能编码胆碱类受体的）造血干细胞、</w:t>
      </w:r>
      <w:r>
        <w:t>X</w:t>
      </w:r>
      <w:r>
        <w:t>抗原、注射器、抗体定量检测仪器等。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80"/>
        <w:gridCol w:w="2796"/>
      </w:tblGrid>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简要操作步骤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实验步骤的目的</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去除小鼠造血干细胞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获得不能产生</w:t>
            </w:r>
            <w:r>
              <w:t>B</w:t>
            </w:r>
            <w:r>
              <w:t>细胞的小鼠</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①</w:t>
            </w:r>
            <w:r>
              <w:t>移植</w:t>
            </w:r>
            <w:r>
              <w:rPr>
                <w:rFonts w:eastAsia="Times New Roman"/>
                <w:u w:val="single"/>
              </w:rPr>
              <w:t xml:space="preserve">      </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设置对照组</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②</w:t>
            </w:r>
            <w:r>
              <w:t>移植</w:t>
            </w:r>
            <w:r>
              <w:rPr>
                <w:rFonts w:eastAsia="Times New Roman"/>
                <w:u w:val="single"/>
              </w:rPr>
              <w:t xml:space="preserve">      </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设置实验组</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对照组和实验组均测定多只小鼠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③</w:t>
            </w:r>
            <w:r>
              <w:rPr>
                <w:rFonts w:eastAsia="Times New Roman"/>
                <w:u w:val="single"/>
              </w:rPr>
              <w:t xml:space="preserve">      </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抗体定量检测仪器测定</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测定两组小鼠体内的</w:t>
            </w:r>
            <w:r>
              <w:t>④</w:t>
            </w:r>
            <w:r>
              <w:rPr>
                <w:rFonts w:eastAsia="Times New Roman"/>
                <w:u w:val="single"/>
              </w:rPr>
              <w:t xml:space="preserve">      </w:t>
            </w:r>
          </w:p>
        </w:tc>
      </w:tr>
    </w:tbl>
    <w:p w:rsidR="00D31C59" w:rsidRDefault="00AA583C">
      <w:pPr>
        <w:spacing w:line="360" w:lineRule="auto"/>
        <w:jc w:val="left"/>
        <w:textAlignment w:val="center"/>
      </w:pPr>
      <w:bookmarkStart w:id="4" w:name="_GoBack"/>
      <w:bookmarkEnd w:id="4"/>
      <w:r>
        <w:t>19</w:t>
      </w:r>
      <w:r>
        <w:t>．</w:t>
      </w:r>
      <w:r>
        <w:rPr>
          <w:rFonts w:hint="eastAsia"/>
        </w:rPr>
        <w:t>（</w:t>
      </w:r>
      <w:r>
        <w:rPr>
          <w:rFonts w:hint="eastAsia"/>
        </w:rPr>
        <w:t>12</w:t>
      </w:r>
      <w:r>
        <w:rPr>
          <w:rFonts w:hint="eastAsia"/>
        </w:rPr>
        <w:t>分）</w:t>
      </w:r>
      <w:r>
        <w:t>水稻穗粒数可影响水稻产量。农杆菌</w:t>
      </w:r>
      <w:r>
        <w:t>Ti</w:t>
      </w:r>
      <w:r>
        <w:t>质粒的</w:t>
      </w:r>
      <w:r>
        <w:t>T-DNA</w:t>
      </w:r>
      <w:r>
        <w:t>可以转移并随机插入野生型水稻基因组中（可在基因组单一位点插入也可以同时插入多个位点），导致被插入的基因功能丧失，从而得到一系列水</w:t>
      </w:r>
      <w:r>
        <w:lastRenderedPageBreak/>
        <w:t>稻突变体。研究者从中筛选得到一株穗粒数异常突变体，为确定</w:t>
      </w:r>
      <w:r>
        <w:t>T-DNA</w:t>
      </w:r>
      <w:r>
        <w:t>插入植物细胞的染色体位置，可根据</w:t>
      </w:r>
      <w:r>
        <w:t>T-DNA</w:t>
      </w:r>
      <w:r>
        <w:t>序列，扩增其两侧未知序列比对，从而确定插入的染色体。</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5276215" cy="1307465"/>
            <wp:effectExtent l="0" t="0" r="6985" b="635"/>
            <wp:docPr id="100037" name="图片 100037" descr="@@@ae2890fc-6e6c-4a3a-a29c-276517e0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ae2890fc-6e6c-4a3a-a29c-276517e04329"/>
                    <pic:cNvPicPr>
                      <a:picLocks noChangeAspect="1"/>
                    </pic:cNvPicPr>
                  </pic:nvPicPr>
                  <pic:blipFill>
                    <a:blip r:embed="rId25"/>
                    <a:stretch>
                      <a:fillRect/>
                    </a:stretch>
                  </pic:blipFill>
                  <pic:spPr>
                    <a:xfrm>
                      <a:off x="0" y="0"/>
                      <a:ext cx="5276800" cy="1307980"/>
                    </a:xfrm>
                    <a:prstGeom prst="rect">
                      <a:avLst/>
                    </a:prstGeom>
                  </pic:spPr>
                </pic:pic>
              </a:graphicData>
            </a:graphic>
          </wp:inline>
        </w:drawing>
      </w:r>
    </w:p>
    <w:p w:rsidR="00D31C59" w:rsidRDefault="00AA583C">
      <w:pPr>
        <w:spacing w:line="360" w:lineRule="auto"/>
        <w:jc w:val="left"/>
        <w:textAlignment w:val="center"/>
      </w:pPr>
      <w:r>
        <w:t>(1)</w:t>
      </w:r>
      <w:r>
        <w:t>图</w:t>
      </w:r>
      <w:r>
        <w:t>1</w:t>
      </w:r>
      <w:r>
        <w:t>所示序列使用限制酶酶切后，将所得</w:t>
      </w:r>
      <w:r>
        <w:t>DNA</w:t>
      </w:r>
      <w:r>
        <w:t>使用</w:t>
      </w:r>
      <w:r>
        <w:rPr>
          <w:rFonts w:eastAsia="Times New Roman"/>
          <w:u w:val="single"/>
        </w:rPr>
        <w:t xml:space="preserve">      </w:t>
      </w:r>
      <w:r>
        <w:t>酶连成环状（如图</w:t>
      </w:r>
      <w:r>
        <w:t>2</w:t>
      </w:r>
      <w:r>
        <w:t>），再设计引物进行</w:t>
      </w:r>
      <w:r>
        <w:t>PCR</w:t>
      </w:r>
      <w:r>
        <w:t>扩增，其中复性过程的作用是</w:t>
      </w:r>
      <w:r>
        <w:rPr>
          <w:rFonts w:eastAsia="Times New Roman"/>
          <w:u w:val="single"/>
        </w:rPr>
        <w:t xml:space="preserve">     </w:t>
      </w:r>
      <w:r>
        <w:t>。</w:t>
      </w:r>
    </w:p>
    <w:p w:rsidR="00D31C59" w:rsidRDefault="00AA583C">
      <w:pPr>
        <w:spacing w:line="360" w:lineRule="auto"/>
        <w:jc w:val="left"/>
        <w:textAlignment w:val="center"/>
      </w:pPr>
      <w:r>
        <w:t>(2)</w:t>
      </w:r>
      <w:r>
        <w:t>请根据图</w:t>
      </w:r>
      <w:r>
        <w:t>1</w:t>
      </w:r>
      <w:r>
        <w:t>的</w:t>
      </w:r>
      <w:r>
        <w:t>T-DNA</w:t>
      </w:r>
      <w:r>
        <w:t>的一条链的碱基序列，选出</w:t>
      </w:r>
      <w:r>
        <w:t>PCR</w:t>
      </w:r>
      <w:r>
        <w:t>中使用的引物序列是</w:t>
      </w:r>
      <w:r>
        <w:rPr>
          <w:rFonts w:eastAsia="Times New Roman"/>
          <w:u w:val="single"/>
        </w:rPr>
        <w:t xml:space="preserve">      </w:t>
      </w:r>
      <w:r>
        <w:t>和</w:t>
      </w:r>
      <w:r>
        <w:rPr>
          <w:rFonts w:eastAsia="Times New Roman"/>
          <w:u w:val="single"/>
        </w:rPr>
        <w:t xml:space="preserve">      </w:t>
      </w:r>
      <w:r>
        <w:t>（填序号）。</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833"/>
        <w:gridCol w:w="2241"/>
      </w:tblGrid>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T-DNA</w:t>
            </w:r>
            <w:r>
              <w:t>序列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引物序列</w:t>
            </w:r>
          </w:p>
        </w:tc>
      </w:tr>
      <w:tr w:rsidR="00D31C59" w:rsidTr="008C28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5′-AACTATGCGC……CGTAGCCTAT-3′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31C59" w:rsidRDefault="00AA583C">
            <w:pPr>
              <w:spacing w:line="360" w:lineRule="auto"/>
              <w:jc w:val="left"/>
              <w:textAlignment w:val="center"/>
            </w:pPr>
            <w:r>
              <w:t>①5′-GCGCATAGTT-3′</w:t>
            </w:r>
          </w:p>
          <w:p w:rsidR="00D31C59" w:rsidRDefault="00AA583C">
            <w:pPr>
              <w:spacing w:line="360" w:lineRule="auto"/>
              <w:jc w:val="left"/>
              <w:textAlignment w:val="center"/>
            </w:pPr>
            <w:r>
              <w:t>②5′-ATAGGCTACG-3′</w:t>
            </w:r>
          </w:p>
          <w:p w:rsidR="00D31C59" w:rsidRDefault="00AA583C">
            <w:pPr>
              <w:spacing w:line="360" w:lineRule="auto"/>
              <w:jc w:val="left"/>
              <w:textAlignment w:val="center"/>
            </w:pPr>
            <w:r>
              <w:t>③5′-CGTAGCCTAT-3′</w:t>
            </w:r>
          </w:p>
          <w:p w:rsidR="00D31C59" w:rsidRDefault="00AA583C">
            <w:pPr>
              <w:spacing w:line="360" w:lineRule="auto"/>
              <w:jc w:val="left"/>
              <w:textAlignment w:val="center"/>
            </w:pPr>
            <w:r>
              <w:t>④5′-AACTATGCGC-3′</w:t>
            </w:r>
          </w:p>
        </w:tc>
      </w:tr>
    </w:tbl>
    <w:p w:rsidR="00D31C59" w:rsidRDefault="00AA583C">
      <w:pPr>
        <w:spacing w:line="360" w:lineRule="auto"/>
        <w:jc w:val="left"/>
        <w:textAlignment w:val="center"/>
      </w:pPr>
      <w:r>
        <w:t>(3)</w:t>
      </w:r>
      <w:r>
        <w:t>由图</w:t>
      </w:r>
      <w:r>
        <w:t>2</w:t>
      </w:r>
      <w:r>
        <w:t>中环状</w:t>
      </w:r>
      <w:r>
        <w:t>DNA</w:t>
      </w:r>
      <w:r>
        <w:t>至少经过</w:t>
      </w:r>
      <w:r>
        <w:rPr>
          <w:rFonts w:eastAsia="Times New Roman"/>
          <w:u w:val="single"/>
        </w:rPr>
        <w:t xml:space="preserve">      </w:t>
      </w:r>
      <w:r>
        <w:t>轮循环才能得到图示链状</w:t>
      </w:r>
      <w:r>
        <w:t>PCR</w:t>
      </w:r>
      <w:r>
        <w:t>产物（如图</w:t>
      </w:r>
      <w:r>
        <w:t>3</w:t>
      </w:r>
      <w:r>
        <w:t>）。</w:t>
      </w:r>
    </w:p>
    <w:p w:rsidR="00D31C59" w:rsidRDefault="00AA583C">
      <w:pPr>
        <w:spacing w:line="360" w:lineRule="auto"/>
        <w:jc w:val="left"/>
        <w:textAlignment w:val="center"/>
      </w:pPr>
      <w:r>
        <w:t>(4)</w:t>
      </w:r>
      <w:r>
        <w:t>经过与野生型水稻基因组序列比对，确定</w:t>
      </w:r>
      <w:r>
        <w:t>T-DNA</w:t>
      </w:r>
      <w:r>
        <w:t>插入</w:t>
      </w:r>
      <w:r>
        <w:t>2</w:t>
      </w:r>
      <w:r>
        <w:t>号染色体上的</w:t>
      </w:r>
      <w:r>
        <w:t>B</w:t>
      </w:r>
      <w:r>
        <w:t>基因中。研究发现，该突变体产量明显低于野生型，据此推测</w:t>
      </w:r>
      <w:r>
        <w:t>B</w:t>
      </w:r>
      <w:r>
        <w:t>基因可</w:t>
      </w:r>
      <w:r>
        <w:rPr>
          <w:rFonts w:eastAsia="Times New Roman"/>
          <w:u w:val="single"/>
        </w:rPr>
        <w:t xml:space="preserve">      </w:t>
      </w:r>
      <w:r>
        <w:t>（填</w:t>
      </w:r>
      <w:r>
        <w:t>“</w:t>
      </w:r>
      <w:r>
        <w:t>促进</w:t>
      </w:r>
      <w:r>
        <w:t>”</w:t>
      </w:r>
      <w:r>
        <w:t>或</w:t>
      </w:r>
      <w:r>
        <w:t>“</w:t>
      </w:r>
      <w:r>
        <w:t>抑制</w:t>
      </w:r>
      <w:r>
        <w:t>”</w:t>
      </w:r>
      <w:r>
        <w:t>）水稻穗粒的形成，从而控制高产性状。</w:t>
      </w:r>
    </w:p>
    <w:p w:rsidR="00D31C59" w:rsidRDefault="00AA583C">
      <w:pPr>
        <w:spacing w:line="360" w:lineRule="auto"/>
        <w:jc w:val="left"/>
        <w:textAlignment w:val="center"/>
      </w:pPr>
      <w:r>
        <w:t>20</w:t>
      </w:r>
      <w:r>
        <w:t>．</w:t>
      </w:r>
      <w:r>
        <w:rPr>
          <w:rFonts w:hint="eastAsia"/>
        </w:rPr>
        <w:t>（</w:t>
      </w:r>
      <w:r>
        <w:rPr>
          <w:rFonts w:hint="eastAsia"/>
        </w:rPr>
        <w:t>12</w:t>
      </w:r>
      <w:r>
        <w:rPr>
          <w:rFonts w:hint="eastAsia"/>
        </w:rPr>
        <w:t>分）</w:t>
      </w:r>
      <w:r>
        <w:t>如今，以种养水生动植物为主的</w:t>
      </w:r>
      <w:r>
        <w:t>“</w:t>
      </w:r>
      <w:r>
        <w:t>湿地立体农业</w:t>
      </w:r>
      <w:r>
        <w:t>”</w:t>
      </w:r>
      <w:r>
        <w:t>在全国各地兴起。这种因地制宜的农业种养模式，不仅使昔日低洼变成了</w:t>
      </w:r>
      <w:r>
        <w:t>“</w:t>
      </w:r>
      <w:r>
        <w:t>聚宝盆</w:t>
      </w:r>
      <w:r>
        <w:t>”</w:t>
      </w:r>
      <w:r>
        <w:t>，而且为当地农民开拓了新的增收渠道。</w:t>
      </w:r>
      <w:r>
        <w:t>20</w:t>
      </w:r>
      <w:r>
        <w:t>世纪</w:t>
      </w:r>
      <w:r>
        <w:t>30</w:t>
      </w:r>
      <w:r>
        <w:t>年代被引入的凤眼莲因繁殖能力超强，吸收</w:t>
      </w:r>
      <w:r>
        <w:t xml:space="preserve"> N</w:t>
      </w:r>
      <w:r>
        <w:t>、</w:t>
      </w:r>
      <w:r>
        <w:t>P</w:t>
      </w:r>
      <w:r>
        <w:t>能力非常强大，因此既可作为动物饲料，还可捕捞晒干后施于土壤，作为植物</w:t>
      </w:r>
      <w:r>
        <w:t>“</w:t>
      </w:r>
      <w:r>
        <w:t>绿肥</w:t>
      </w:r>
      <w:r>
        <w:t>”</w:t>
      </w:r>
      <w:r>
        <w:t>，但现在却被称为</w:t>
      </w:r>
      <w:r>
        <w:t>“</w:t>
      </w:r>
      <w:r>
        <w:t>水上绿魔</w:t>
      </w:r>
      <w:r>
        <w:t>”</w:t>
      </w:r>
      <w:r>
        <w:t>。请回答下列有关问题：</w:t>
      </w:r>
    </w:p>
    <w:p w:rsidR="00D31C59" w:rsidRDefault="00AA583C">
      <w:pPr>
        <w:spacing w:line="360" w:lineRule="auto"/>
        <w:jc w:val="left"/>
        <w:textAlignment w:val="center"/>
      </w:pPr>
      <w:r>
        <w:t>(1)“</w:t>
      </w:r>
      <w:r>
        <w:t>湿地立体农业</w:t>
      </w:r>
      <w:r>
        <w:t>”</w:t>
      </w:r>
      <w:r>
        <w:t>的养殖模式运用了</w:t>
      </w:r>
      <w:r>
        <w:rPr>
          <w:rFonts w:eastAsia="Times New Roman"/>
          <w:u w:val="single"/>
        </w:rPr>
        <w:t xml:space="preserve">       </w:t>
      </w:r>
      <w:r>
        <w:t>原理。</w:t>
      </w:r>
    </w:p>
    <w:p w:rsidR="00D31C59" w:rsidRDefault="00AA583C">
      <w:pPr>
        <w:spacing w:line="360" w:lineRule="auto"/>
        <w:jc w:val="left"/>
        <w:textAlignment w:val="center"/>
      </w:pPr>
      <w:r>
        <w:t>(2)</w:t>
      </w:r>
      <w:r>
        <w:t>研究凤眼莲的生态位，通常要研究它在研究区域内</w:t>
      </w:r>
      <w:r>
        <w:rPr>
          <w:rFonts w:eastAsia="Times New Roman"/>
          <w:u w:val="single"/>
        </w:rPr>
        <w:t xml:space="preserve">      </w:t>
      </w:r>
      <w:r>
        <w:t>（至少答</w:t>
      </w:r>
      <w:r>
        <w:t>2</w:t>
      </w:r>
      <w:r>
        <w:t>点）等特征，以及它与其他物种的关系。凤眼莲作为动物饲料、</w:t>
      </w:r>
      <w:r>
        <w:t>“</w:t>
      </w:r>
      <w:r>
        <w:t>绿肥</w:t>
      </w:r>
      <w:r>
        <w:t>”</w:t>
      </w:r>
      <w:r>
        <w:t>体现了生物多样性的</w:t>
      </w:r>
      <w:r>
        <w:rPr>
          <w:rFonts w:eastAsia="Times New Roman"/>
          <w:u w:val="single"/>
        </w:rPr>
        <w:t xml:space="preserve">       </w:t>
      </w:r>
      <w:r>
        <w:t>价值。</w:t>
      </w:r>
    </w:p>
    <w:p w:rsidR="00D31C59" w:rsidRDefault="00AA583C">
      <w:pPr>
        <w:spacing w:line="360" w:lineRule="auto"/>
        <w:jc w:val="left"/>
        <w:textAlignment w:val="center"/>
      </w:pPr>
      <w:r>
        <w:t>(3)</w:t>
      </w:r>
      <w:r>
        <w:t>夏季来临，主要是蓝藻等迅速繁殖，在一些富含营养的水体中，会发生水华现象。蓝藻与凤眼莲都属于生态系统中的组成成分中的</w:t>
      </w:r>
      <w:r>
        <w:rPr>
          <w:rFonts w:eastAsia="Times New Roman"/>
          <w:u w:val="single"/>
        </w:rPr>
        <w:t xml:space="preserve">         </w:t>
      </w:r>
      <w:r>
        <w:t>，但两者细胞结构主要区别是</w:t>
      </w:r>
      <w:r>
        <w:rPr>
          <w:rFonts w:eastAsia="Times New Roman"/>
          <w:u w:val="single"/>
        </w:rPr>
        <w:t xml:space="preserve">      </w:t>
      </w:r>
      <w:r>
        <w:t>。从捕食的角度来治理水华现象是投放滤食浮游植物的鱼类，但投放鱼类前需要考虑环境容纳量，这遵循了生态工程的</w:t>
      </w:r>
      <w:r>
        <w:rPr>
          <w:rFonts w:eastAsia="Times New Roman"/>
          <w:u w:val="single"/>
        </w:rPr>
        <w:t xml:space="preserve">       </w:t>
      </w:r>
      <w:r>
        <w:t>原理。</w:t>
      </w:r>
    </w:p>
    <w:p w:rsidR="00D31C59" w:rsidRDefault="00AA583C">
      <w:pPr>
        <w:spacing w:line="360" w:lineRule="auto"/>
        <w:jc w:val="left"/>
        <w:textAlignment w:val="center"/>
      </w:pPr>
      <w:r>
        <w:t>(4)</w:t>
      </w:r>
      <w:r>
        <w:t>我国科技人员创造了浮床生态工艺法（如图）来净化污水水华。在漂浮水面的浮床上种植以凤眼莲为主</w:t>
      </w:r>
      <w:r>
        <w:lastRenderedPageBreak/>
        <w:t>等水生植物，与水面蓝藻等形成的</w:t>
      </w:r>
      <w:r>
        <w:rPr>
          <w:rFonts w:eastAsia="Times New Roman"/>
          <w:u w:val="single"/>
        </w:rPr>
        <w:t xml:space="preserve">      </w:t>
      </w:r>
      <w:r>
        <w:t>关系，争夺阳光。生态浮床能抑制藻类大量繁殖的原因还有</w:t>
      </w:r>
      <w:r>
        <w:rPr>
          <w:rFonts w:eastAsia="Times New Roman"/>
          <w:u w:val="single"/>
        </w:rPr>
        <w:t xml:space="preserve">        </w:t>
      </w:r>
      <w:r>
        <w:t>。</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1625600" cy="921657"/>
            <wp:effectExtent l="0" t="0" r="0" b="0"/>
            <wp:docPr id="100039" name="图片 100039" descr="@@@843711b3-b27e-48bc-9fcd-f3c724257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43711b3-b27e-48bc-9fcd-f3c724257dee"/>
                    <pic:cNvPicPr>
                      <a:picLocks noChangeAspect="1"/>
                    </pic:cNvPicPr>
                  </pic:nvPicPr>
                  <pic:blipFill>
                    <a:blip r:embed="rId26"/>
                    <a:stretch>
                      <a:fillRect/>
                    </a:stretch>
                  </pic:blipFill>
                  <pic:spPr>
                    <a:xfrm>
                      <a:off x="0" y="0"/>
                      <a:ext cx="1636493" cy="927833"/>
                    </a:xfrm>
                    <a:prstGeom prst="rect">
                      <a:avLst/>
                    </a:prstGeom>
                  </pic:spPr>
                </pic:pic>
              </a:graphicData>
            </a:graphic>
          </wp:inline>
        </w:drawing>
      </w:r>
    </w:p>
    <w:p w:rsidR="00D31C59" w:rsidRDefault="00AA583C">
      <w:pPr>
        <w:spacing w:line="360" w:lineRule="auto"/>
        <w:jc w:val="left"/>
        <w:textAlignment w:val="center"/>
      </w:pPr>
      <w:r>
        <w:t>21</w:t>
      </w:r>
      <w:r>
        <w:t>．</w:t>
      </w:r>
      <w:r>
        <w:rPr>
          <w:rFonts w:hint="eastAsia"/>
        </w:rPr>
        <w:t>（</w:t>
      </w:r>
      <w:r>
        <w:rPr>
          <w:rFonts w:hint="eastAsia"/>
        </w:rPr>
        <w:t>12</w:t>
      </w:r>
      <w:r>
        <w:rPr>
          <w:rFonts w:hint="eastAsia"/>
        </w:rPr>
        <w:t>分）</w:t>
      </w:r>
      <w:r>
        <w:t>CO</w:t>
      </w:r>
      <w:r>
        <w:rPr>
          <w:vertAlign w:val="subscript"/>
        </w:rPr>
        <w:t>2</w:t>
      </w:r>
      <w:r>
        <w:t>浓度变化会对植物光合作用速率产生影响。研究人员选用</w:t>
      </w:r>
      <w:r>
        <w:t>2</w:t>
      </w:r>
      <w:r>
        <w:t>个番茄材料，进行</w:t>
      </w:r>
      <w:r>
        <w:t>CO</w:t>
      </w:r>
      <w:r>
        <w:rPr>
          <w:vertAlign w:val="subscript"/>
        </w:rPr>
        <w:t>2</w:t>
      </w:r>
      <w:r>
        <w:t>浓度对番茄光合作用速率的影响研究（一个栽培品种，另一个是适应高光强、低温等逆境的野生种）。在光照强度设定为</w:t>
      </w:r>
      <w:r>
        <w:t>800μmol.m</w:t>
      </w:r>
      <w:r>
        <w:rPr>
          <w:vertAlign w:val="superscript"/>
        </w:rPr>
        <w:t>-2</w:t>
      </w:r>
      <w:r>
        <w:t>s</w:t>
      </w:r>
      <w:r>
        <w:rPr>
          <w:vertAlign w:val="superscript"/>
        </w:rPr>
        <w:t>-1</w:t>
      </w:r>
      <w:r>
        <w:t>条件下，</w:t>
      </w:r>
      <w:r>
        <w:t>CO</w:t>
      </w:r>
      <w:r>
        <w:rPr>
          <w:vertAlign w:val="subscript"/>
        </w:rPr>
        <w:t>2</w:t>
      </w:r>
      <w:r>
        <w:t>浓度分别为设定为</w:t>
      </w:r>
      <w:r>
        <w:t>300</w:t>
      </w:r>
      <w:r>
        <w:t>、</w:t>
      </w:r>
      <w:r>
        <w:t>800</w:t>
      </w:r>
      <w:r>
        <w:t>、</w:t>
      </w:r>
      <w:r>
        <w:t>1300μl/L</w:t>
      </w:r>
      <w:r>
        <w:t>三个浓度，对呼吸作用和光合作用的速率影响结果如图</w:t>
      </w:r>
      <w:r>
        <w:t>1A</w:t>
      </w:r>
      <w:r>
        <w:t>和图</w:t>
      </w:r>
      <w:r>
        <w:t>1B</w:t>
      </w:r>
      <w:r>
        <w:t>所示，对光补偿点和光饱和点的影响结果如图</w:t>
      </w:r>
      <w:r>
        <w:t>2A</w:t>
      </w:r>
      <w:r>
        <w:t>和图</w:t>
      </w:r>
      <w:r>
        <w:t>2B</w:t>
      </w:r>
      <w:r>
        <w:t>所示（</w:t>
      </w:r>
      <w:r>
        <w:t>PAR</w:t>
      </w:r>
      <w:r>
        <w:t>：太阳辐射中被绿色植物用来进行光合作用的那部分能量称为光合有效辐射；本实验用</w:t>
      </w:r>
      <w:r>
        <w:t>PAR</w:t>
      </w:r>
      <w:r>
        <w:t>测定光补偿点和光饱和点来分析光合速率）。回答下列问题。</w:t>
      </w:r>
    </w:p>
    <w:p w:rsidR="00D31C59" w:rsidRDefault="00AA583C" w:rsidP="008C28AD">
      <w:pPr>
        <w:spacing w:line="360" w:lineRule="auto"/>
        <w:jc w:val="center"/>
        <w:textAlignment w:val="center"/>
      </w:pPr>
      <w:r>
        <w:rPr>
          <w:rFonts w:eastAsia="Times New Roman"/>
          <w:noProof/>
          <w:kern w:val="0"/>
          <w:sz w:val="24"/>
          <w:szCs w:val="24"/>
        </w:rPr>
        <w:drawing>
          <wp:inline distT="0" distB="0" distL="114300" distR="114300">
            <wp:extent cx="3791284" cy="1516513"/>
            <wp:effectExtent l="0" t="0" r="0" b="7620"/>
            <wp:docPr id="100041" name="图片 100041" descr="@@@3f140293-bba5-4dd2-adba-a9914ddd49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f140293-bba5-4dd2-adba-a9914ddd49f0"/>
                    <pic:cNvPicPr>
                      <a:picLocks noChangeAspect="1"/>
                    </pic:cNvPicPr>
                  </pic:nvPicPr>
                  <pic:blipFill>
                    <a:blip r:embed="rId27"/>
                    <a:stretch>
                      <a:fillRect/>
                    </a:stretch>
                  </pic:blipFill>
                  <pic:spPr>
                    <a:xfrm>
                      <a:off x="0" y="0"/>
                      <a:ext cx="3838980" cy="1535591"/>
                    </a:xfrm>
                    <a:prstGeom prst="rect">
                      <a:avLst/>
                    </a:prstGeom>
                  </pic:spPr>
                </pic:pic>
              </a:graphicData>
            </a:graphic>
          </wp:inline>
        </w:drawing>
      </w:r>
      <w:r>
        <w:rPr>
          <w:rFonts w:eastAsia="Times New Roman"/>
          <w:noProof/>
          <w:kern w:val="0"/>
          <w:sz w:val="24"/>
          <w:szCs w:val="24"/>
        </w:rPr>
        <w:drawing>
          <wp:inline distT="0" distB="0" distL="114300" distR="114300">
            <wp:extent cx="3801979" cy="1645087"/>
            <wp:effectExtent l="0" t="0" r="8255" b="0"/>
            <wp:docPr id="100043" name="图片 100043" descr="@@@9cb09f9e-b67e-4ce0-a33d-2e528dc31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9cb09f9e-b67e-4ce0-a33d-2e528dc3123a"/>
                    <pic:cNvPicPr>
                      <a:picLocks noChangeAspect="1"/>
                    </pic:cNvPicPr>
                  </pic:nvPicPr>
                  <pic:blipFill>
                    <a:blip r:embed="rId28"/>
                    <a:stretch>
                      <a:fillRect/>
                    </a:stretch>
                  </pic:blipFill>
                  <pic:spPr>
                    <a:xfrm>
                      <a:off x="0" y="0"/>
                      <a:ext cx="3841170" cy="1662045"/>
                    </a:xfrm>
                    <a:prstGeom prst="rect">
                      <a:avLst/>
                    </a:prstGeom>
                  </pic:spPr>
                </pic:pic>
              </a:graphicData>
            </a:graphic>
          </wp:inline>
        </w:drawing>
      </w:r>
    </w:p>
    <w:p w:rsidR="00D31C59" w:rsidRDefault="00AA583C">
      <w:pPr>
        <w:spacing w:line="360" w:lineRule="auto"/>
        <w:jc w:val="left"/>
        <w:textAlignment w:val="center"/>
      </w:pPr>
      <w:r>
        <w:t>(1)</w:t>
      </w:r>
      <w:r>
        <w:t>光合作用包括光反应和暗反应两个阶段。光反应的场所是</w:t>
      </w:r>
      <w:r>
        <w:rPr>
          <w:rFonts w:eastAsia="Times New Roman"/>
          <w:u w:val="single"/>
        </w:rPr>
        <w:t xml:space="preserve">            </w:t>
      </w:r>
      <w:r>
        <w:t>；在暗反应阶段</w:t>
      </w:r>
      <w:r>
        <w:t>CO</w:t>
      </w:r>
      <w:r>
        <w:rPr>
          <w:vertAlign w:val="subscript"/>
        </w:rPr>
        <w:t>2</w:t>
      </w:r>
      <w:r>
        <w:t>被固定形成</w:t>
      </w:r>
      <w:r>
        <w:t>C</w:t>
      </w:r>
      <w:r>
        <w:rPr>
          <w:vertAlign w:val="subscript"/>
        </w:rPr>
        <w:t>3</w:t>
      </w:r>
      <w:r>
        <w:t>后，在有关酶的作用下，接受</w:t>
      </w:r>
      <w:r>
        <w:rPr>
          <w:rFonts w:eastAsia="Times New Roman"/>
          <w:u w:val="single"/>
        </w:rPr>
        <w:t xml:space="preserve">           </w:t>
      </w:r>
      <w:r>
        <w:t>释放的能量，随后会被还原。</w:t>
      </w:r>
    </w:p>
    <w:p w:rsidR="00D31C59" w:rsidRDefault="00AA583C">
      <w:pPr>
        <w:spacing w:line="360" w:lineRule="auto"/>
        <w:jc w:val="left"/>
        <w:textAlignment w:val="center"/>
      </w:pPr>
      <w:r>
        <w:t>(2)</w:t>
      </w:r>
      <w:r>
        <w:t>图</w:t>
      </w:r>
      <w:r>
        <w:t>1A</w:t>
      </w:r>
      <w:r>
        <w:t>可知，提高</w:t>
      </w:r>
      <w:r>
        <w:t>CO</w:t>
      </w:r>
      <w:r>
        <w:rPr>
          <w:vertAlign w:val="subscript"/>
        </w:rPr>
        <w:t>2</w:t>
      </w:r>
      <w:r>
        <w:t>的浓度，</w:t>
      </w:r>
      <w:r>
        <w:t>2</w:t>
      </w:r>
      <w:r>
        <w:t>个番茄材料中，</w:t>
      </w:r>
      <w:r>
        <w:rPr>
          <w:rFonts w:eastAsia="Times New Roman"/>
          <w:u w:val="single"/>
        </w:rPr>
        <w:t xml:space="preserve">          </w:t>
      </w:r>
      <w:r>
        <w:t>的呼吸速率下降趋势更为显著；图</w:t>
      </w:r>
      <w:r>
        <w:t>1B</w:t>
      </w:r>
      <w:r>
        <w:t>显示，</w:t>
      </w:r>
      <w:r>
        <w:t>2</w:t>
      </w:r>
      <w:r>
        <w:t>个番茄材料的光合作用速率对</w:t>
      </w:r>
      <w:r>
        <w:t>CO</w:t>
      </w:r>
      <w:r>
        <w:rPr>
          <w:vertAlign w:val="subscript"/>
        </w:rPr>
        <w:t>2</w:t>
      </w:r>
      <w:r>
        <w:t>的响应基本一致，均体现出随</w:t>
      </w:r>
      <w:r>
        <w:t>CO</w:t>
      </w:r>
      <w:r>
        <w:rPr>
          <w:vertAlign w:val="subscript"/>
        </w:rPr>
        <w:t>2</w:t>
      </w:r>
      <w:r>
        <w:t>浓度升高而</w:t>
      </w:r>
      <w:r>
        <w:rPr>
          <w:rFonts w:eastAsia="Times New Roman"/>
          <w:u w:val="single"/>
        </w:rPr>
        <w:t xml:space="preserve">           </w:t>
      </w:r>
      <w:r>
        <w:t>的现象。</w:t>
      </w:r>
    </w:p>
    <w:p w:rsidR="00D31C59" w:rsidRDefault="00AA583C" w:rsidP="008C28AD">
      <w:pPr>
        <w:spacing w:line="360" w:lineRule="auto"/>
        <w:jc w:val="left"/>
        <w:textAlignment w:val="center"/>
        <w:rPr>
          <w:rFonts w:eastAsia="黑体"/>
          <w:color w:val="FF0000"/>
        </w:rPr>
      </w:pPr>
      <w:r>
        <w:t>(3)</w:t>
      </w:r>
      <w:r>
        <w:t>结合图</w:t>
      </w:r>
      <w:r>
        <w:t>2</w:t>
      </w:r>
      <w:r>
        <w:t>分析，</w:t>
      </w:r>
      <w:r>
        <w:t>CO</w:t>
      </w:r>
      <w:r>
        <w:rPr>
          <w:vertAlign w:val="subscript"/>
        </w:rPr>
        <w:t>2</w:t>
      </w:r>
      <w:r>
        <w:t>浓度从</w:t>
      </w:r>
      <w:r>
        <w:t>300μl/L</w:t>
      </w:r>
      <w:r>
        <w:t>增至</w:t>
      </w:r>
      <w:r>
        <w:t>800μl/L</w:t>
      </w:r>
      <w:r>
        <w:t>时，</w:t>
      </w:r>
      <w:r>
        <w:t>2</w:t>
      </w:r>
      <w:r>
        <w:t>个番茄材料光合速率随之提高，出现这种变化的原因是</w:t>
      </w:r>
      <w:r>
        <w:rPr>
          <w:rFonts w:eastAsia="Times New Roman"/>
          <w:u w:val="single"/>
        </w:rPr>
        <w:t xml:space="preserve">              </w:t>
      </w:r>
      <w:r>
        <w:t>；在上述</w:t>
      </w:r>
      <w:r>
        <w:t>CO</w:t>
      </w:r>
      <w:r>
        <w:rPr>
          <w:vertAlign w:val="subscript"/>
        </w:rPr>
        <w:t>2</w:t>
      </w:r>
      <w:r>
        <w:t>浓度增加超过一倍的情况下，光合速率没有倍增的限制因素可能是</w:t>
      </w:r>
      <w:r>
        <w:rPr>
          <w:rFonts w:eastAsia="Times New Roman"/>
          <w:u w:val="single"/>
        </w:rPr>
        <w:t xml:space="preserve">                  </w:t>
      </w:r>
      <w:r>
        <w:t>。</w:t>
      </w:r>
    </w:p>
    <w:sectPr w:rsidR="00D31C59">
      <w:headerReference w:type="default" r:id="rId29"/>
      <w:footerReference w:type="even" r:id="rId30"/>
      <w:footerReference w:type="default" r:id="rId31"/>
      <w:pgSz w:w="11907" w:h="16839"/>
      <w:pgMar w:top="1417" w:right="1077" w:bottom="1417" w:left="1077" w:header="851" w:footer="992" w:gutter="0"/>
      <w:cols w:sep="1"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63D2C" w:rsidRDefault="00763D2C">
      <w:r>
        <w:separator/>
      </w:r>
    </w:p>
  </w:endnote>
  <w:endnote w:type="continuationSeparator" w:id="0">
    <w:p w:rsidR="00763D2C" w:rsidRDefault="00763D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1C59" w:rsidRDefault="00AA583C">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22</w:instrText>
    </w:r>
    <w:r>
      <w:fldChar w:fldCharType="end"/>
    </w:r>
    <w:r>
      <w:instrText xml:space="preserve"> </w:instrText>
    </w:r>
    <w:r>
      <w:fldChar w:fldCharType="separate"/>
    </w:r>
    <w:r>
      <w:t>22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1C59" w:rsidRDefault="00AA583C">
    <w:pPr>
      <w:jc w:val="right"/>
    </w:pPr>
    <w:r>
      <w:rPr>
        <w:rFonts w:eastAsia="Times New Roman"/>
        <w:sz w:val="20"/>
      </w:rPr>
      <w:fldChar w:fldCharType="begin"/>
    </w:r>
    <w:r>
      <w:rPr>
        <w:rFonts w:eastAsia="Times New Roman"/>
        <w:sz w:val="20"/>
      </w:rPr>
      <w:instrText>PAGE</w:instrText>
    </w:r>
    <w:r>
      <w:rPr>
        <w:rFonts w:eastAsia="Times New Roman"/>
        <w:sz w:val="20"/>
      </w:rPr>
      <w:fldChar w:fldCharType="separate"/>
    </w:r>
    <w:r w:rsidR="008C28AD">
      <w:rPr>
        <w:rFonts w:eastAsia="Times New Roman"/>
        <w:noProof/>
        <w:sz w:val="20"/>
      </w:rPr>
      <w:t>8</w:t>
    </w:r>
    <w:r>
      <w:rPr>
        <w:rFonts w:eastAsia="Times New Roman"/>
        <w:sz w:val="20"/>
      </w:rPr>
      <w:fldChar w:fldCharType="end"/>
    </w:r>
  </w:p>
  <w:p w:rsidR="004151FC" w:rsidRDefault="00763D2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5" type="#_x0000_t136" alt="学科网 zxxk.com" style="position:absolute;margin-left:158.95pt;margin-top:407.9pt;width:2.85pt;height:2.85pt;rotation:315;z-index:-251659264;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76" type="#_x0000_t75" alt="学科网 zxxk.com" style="position:absolute;margin-left:64.05pt;margin-top:-20.75pt;width:.05pt;height:.05pt;z-index:251659264">
          <v:imagedata r:id="rId1" o:title="{75232B38-A165-1FB7-499C-2E1C792CACB5}"/>
        </v:shape>
      </w:pict>
    </w:r>
    <w:r w:rsidR="00AA583C">
      <w:rPr>
        <w:rFonts w:hint="eastAsia"/>
        <w:color w:val="FFFFFF"/>
        <w:kern w:val="0"/>
        <w:sz w:val="2"/>
        <w:szCs w:val="2"/>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63D2C" w:rsidRDefault="00763D2C">
      <w:r>
        <w:separator/>
      </w:r>
    </w:p>
  </w:footnote>
  <w:footnote w:type="continuationSeparator" w:id="0">
    <w:p w:rsidR="00763D2C" w:rsidRDefault="00763D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1C59" w:rsidRDefault="00D31C59"/>
  <w:p w:rsidR="004151FC" w:rsidRDefault="00763D2C">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73" type="#_x0000_t75" alt="学科网 zxxk.com" style="position:absolute;left:0;text-align:left;margin-left:351pt;margin-top:8.45pt;width:.75pt;height:.75pt;z-index:251658240">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85pt;height:.85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E1D3B"/>
    <w:multiLevelType w:val="singleLevel"/>
    <w:tmpl w:val="010E1D3B"/>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8"/>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7"/>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2MWU0MTBiNzU0ZjFjOGExNjE4Mjg1MDhiYTU5NDYifQ=="/>
  </w:docVars>
  <w:rsids>
    <w:rsidRoot w:val="00C806B0"/>
    <w:rsid w:val="00043B54"/>
    <w:rsid w:val="00052438"/>
    <w:rsid w:val="000570C3"/>
    <w:rsid w:val="0007235F"/>
    <w:rsid w:val="000E2552"/>
    <w:rsid w:val="00183CB9"/>
    <w:rsid w:val="001B682C"/>
    <w:rsid w:val="001D7A06"/>
    <w:rsid w:val="00241E54"/>
    <w:rsid w:val="00264507"/>
    <w:rsid w:val="002767BF"/>
    <w:rsid w:val="00277654"/>
    <w:rsid w:val="00284433"/>
    <w:rsid w:val="002A1EC6"/>
    <w:rsid w:val="002D0CF3"/>
    <w:rsid w:val="002E035E"/>
    <w:rsid w:val="002E305A"/>
    <w:rsid w:val="003E64E6"/>
    <w:rsid w:val="0041230C"/>
    <w:rsid w:val="004151FC"/>
    <w:rsid w:val="004745B9"/>
    <w:rsid w:val="00495078"/>
    <w:rsid w:val="004C0567"/>
    <w:rsid w:val="004C76A0"/>
    <w:rsid w:val="004D5AFC"/>
    <w:rsid w:val="00516D60"/>
    <w:rsid w:val="00523C1B"/>
    <w:rsid w:val="00545D58"/>
    <w:rsid w:val="00572824"/>
    <w:rsid w:val="005964BD"/>
    <w:rsid w:val="005C6DB1"/>
    <w:rsid w:val="0064056B"/>
    <w:rsid w:val="006628D8"/>
    <w:rsid w:val="006B1662"/>
    <w:rsid w:val="006B16C5"/>
    <w:rsid w:val="006B23AB"/>
    <w:rsid w:val="006C28B9"/>
    <w:rsid w:val="006C48D1"/>
    <w:rsid w:val="00763D2C"/>
    <w:rsid w:val="0076463B"/>
    <w:rsid w:val="00776133"/>
    <w:rsid w:val="007B3F3F"/>
    <w:rsid w:val="00882679"/>
    <w:rsid w:val="008A6491"/>
    <w:rsid w:val="008C07DE"/>
    <w:rsid w:val="008C28AD"/>
    <w:rsid w:val="008F0404"/>
    <w:rsid w:val="009029DB"/>
    <w:rsid w:val="00910569"/>
    <w:rsid w:val="00940C88"/>
    <w:rsid w:val="0098035E"/>
    <w:rsid w:val="009B6548"/>
    <w:rsid w:val="009B6600"/>
    <w:rsid w:val="009D0B5B"/>
    <w:rsid w:val="00A30CCE"/>
    <w:rsid w:val="00A82452"/>
    <w:rsid w:val="00A839B9"/>
    <w:rsid w:val="00AA583C"/>
    <w:rsid w:val="00AB2888"/>
    <w:rsid w:val="00AC3E9C"/>
    <w:rsid w:val="00AF0573"/>
    <w:rsid w:val="00B2092B"/>
    <w:rsid w:val="00B479E9"/>
    <w:rsid w:val="00B77A72"/>
    <w:rsid w:val="00B87230"/>
    <w:rsid w:val="00BA55BD"/>
    <w:rsid w:val="00BC4F14"/>
    <w:rsid w:val="00BF535F"/>
    <w:rsid w:val="00C02FC6"/>
    <w:rsid w:val="00C76DDF"/>
    <w:rsid w:val="00C806B0"/>
    <w:rsid w:val="00D165E7"/>
    <w:rsid w:val="00D26AF8"/>
    <w:rsid w:val="00D318CD"/>
    <w:rsid w:val="00D31C59"/>
    <w:rsid w:val="00E14372"/>
    <w:rsid w:val="00E40056"/>
    <w:rsid w:val="00E476EE"/>
    <w:rsid w:val="00EC6237"/>
    <w:rsid w:val="00EF035E"/>
    <w:rsid w:val="00EF3342"/>
    <w:rsid w:val="00F11E74"/>
    <w:rsid w:val="00F31CEE"/>
    <w:rsid w:val="00FA68DF"/>
    <w:rsid w:val="03A26620"/>
    <w:rsid w:val="058D3A56"/>
    <w:rsid w:val="064F7883"/>
    <w:rsid w:val="0D7F375C"/>
    <w:rsid w:val="0EED5908"/>
    <w:rsid w:val="11C74E2C"/>
    <w:rsid w:val="1A3F6553"/>
    <w:rsid w:val="1CDE4896"/>
    <w:rsid w:val="1EF31C85"/>
    <w:rsid w:val="2D8E04B3"/>
    <w:rsid w:val="2F0A3110"/>
    <w:rsid w:val="37B31DC8"/>
    <w:rsid w:val="45BB7D8F"/>
    <w:rsid w:val="468D76E5"/>
    <w:rsid w:val="48D1385F"/>
    <w:rsid w:val="5116797A"/>
    <w:rsid w:val="53BE69E6"/>
    <w:rsid w:val="544A52F4"/>
    <w:rsid w:val="61E85E02"/>
    <w:rsid w:val="6F694628"/>
    <w:rsid w:val="793C6B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7"/>
    <o:shapelayout v:ext="edit">
      <o:idmap v:ext="edit" data="1"/>
    </o:shapelayout>
  </w:shapeDefaults>
  <w:decimalSymbol w:val="."/>
  <w:listSeparator w:val=","/>
  <w15:docId w15:val="{FBC826AB-46CF-449A-9298-64DBAE826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qFormat/>
    <w:pPr>
      <w:tabs>
        <w:tab w:val="center" w:pos="4153"/>
        <w:tab w:val="right" w:pos="8306"/>
      </w:tabs>
      <w:snapToGrid w:val="0"/>
      <w:jc w:val="left"/>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Char">
    <w:name w:val="批注框文本 Char"/>
    <w:basedOn w:val="a0"/>
    <w:link w:val="a4"/>
    <w:uiPriority w:val="99"/>
    <w:semiHidden/>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10</Pages>
  <Words>1049</Words>
  <Characters>5981</Characters>
  <Application>Microsoft Office Word</Application>
  <DocSecurity>0</DocSecurity>
  <Lines>49</Lines>
  <Paragraphs>14</Paragraphs>
  <ScaleCrop>false</ScaleCrop>
  <Company/>
  <LinksUpToDate>false</LinksUpToDate>
  <CharactersWithSpaces>7016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MicroSoft</cp:lastModifiedBy>
  <cp:revision>63</cp:revision>
  <dcterms:created xsi:type="dcterms:W3CDTF">2017-07-19T12:07:00Z</dcterms:created>
  <dcterms:modified xsi:type="dcterms:W3CDTF">2025-01-09T10:26:00Z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